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0A3928" w:rsidRPr="00EA3591" w:rsidP="00932572" w14:paraId="1AFF72D1" w14:textId="15B7DC52">
      <w:pPr>
        <w:jc w:val="center"/>
        <w:rPr>
          <w:b/>
          <w:color w:val="010101"/>
          <w:w w:val="105"/>
          <w:sz w:val="24"/>
          <w:szCs w:val="24"/>
          <w:shd w:val="clear" w:color="auto" w:fill="auto"/>
        </w:rPr>
      </w:pPr>
      <w:r w:rsidRPr="00EA3591">
        <w:rPr>
          <w:b/>
          <w:color w:val="010101"/>
          <w:w w:val="105"/>
          <w:sz w:val="24"/>
          <w:szCs w:val="24"/>
        </w:rPr>
        <w:t xml:space="preserve">PUC </w:t>
      </w:r>
      <w:r w:rsidR="00E15866">
        <w:rPr>
          <w:b/>
          <w:color w:val="010101"/>
          <w:w w:val="105"/>
          <w:sz w:val="24"/>
          <w:szCs w:val="24"/>
        </w:rPr>
        <w:t>PROJECT</w:t>
      </w:r>
      <w:r w:rsidRPr="00EA3591">
        <w:rPr>
          <w:b/>
          <w:color w:val="010101"/>
          <w:w w:val="105"/>
          <w:sz w:val="24"/>
          <w:szCs w:val="24"/>
        </w:rPr>
        <w:t xml:space="preserve"> NO. </w:t>
      </w:r>
      <w:r w:rsidR="00EC2A3F">
        <w:rPr>
          <w:b/>
          <w:color w:val="010101"/>
          <w:w w:val="105"/>
          <w:sz w:val="24"/>
          <w:szCs w:val="24"/>
        </w:rPr>
        <w:t>38578</w:t>
      </w:r>
    </w:p>
    <w:p w:rsidR="004A1171" w:rsidRPr="00EA3591" w:rsidP="00094083" w14:paraId="53794223" w14:textId="77777777">
      <w:pPr>
        <w:spacing w:line="249" w:lineRule="auto"/>
        <w:jc w:val="center"/>
        <w:rPr>
          <w:b/>
          <w:color w:val="010101"/>
          <w:w w:val="105"/>
          <w:sz w:val="24"/>
          <w:szCs w:val="24"/>
          <w:u w:val="thick" w:color="010101"/>
          <w:shd w:val="clear" w:color="auto" w:fill="auto"/>
        </w:rPr>
      </w:pPr>
    </w:p>
    <w:tbl>
      <w:tblPr>
        <w:tblW w:w="9720" w:type="dxa"/>
        <w:tblLayout w:type="fixed"/>
        <w:tblLook w:val="04A0"/>
      </w:tblPr>
      <w:tblGrid>
        <w:gridCol w:w="4608"/>
        <w:gridCol w:w="360"/>
        <w:gridCol w:w="360"/>
        <w:gridCol w:w="4392"/>
      </w:tblGrid>
      <w:tr w14:paraId="5E83A30E" w14:textId="77777777" w:rsidTr="00207F03">
        <w:tblPrEx>
          <w:tblW w:w="9720" w:type="dxa"/>
          <w:tblLayout w:type="fixed"/>
          <w:tblLook w:val="04A0"/>
        </w:tblPrEx>
        <w:tc>
          <w:tcPr>
            <w:tcW w:w="4608" w:type="dxa"/>
            <w:hideMark/>
          </w:tcPr>
          <w:p w:rsidR="00E15866" w:rsidP="00E15866" w14:paraId="02B32F20" w14:textId="77777777">
            <w:pPr>
              <w:pStyle w:val="Docketstyle"/>
              <w:spacing w:line="276" w:lineRule="auto"/>
              <w:jc w:val="center"/>
              <w:rPr>
                <w:rFonts w:ascii="Helvetica" w:hAnsi="Helvetica" w:cs="Helvetica"/>
                <w:color w:val="010101"/>
                <w:sz w:val="21"/>
                <w:szCs w:val="21"/>
                <w:shd w:val="clear" w:color="auto" w:fill="auto"/>
                <w:lang w:val="en"/>
              </w:rPr>
            </w:pPr>
          </w:p>
          <w:p w:rsidR="00E15866" w:rsidP="00E15866" w14:paraId="2F23977F" w14:textId="77777777">
            <w:pPr>
              <w:pStyle w:val="Docketstyle"/>
              <w:spacing w:line="276" w:lineRule="auto"/>
              <w:jc w:val="center"/>
              <w:rPr>
                <w:rFonts w:ascii="Helvetica" w:hAnsi="Helvetica" w:cs="Helvetica"/>
                <w:color w:val="010101"/>
                <w:sz w:val="21"/>
                <w:szCs w:val="21"/>
                <w:shd w:val="clear" w:color="auto" w:fill="auto"/>
                <w:lang w:val="en"/>
              </w:rPr>
            </w:pPr>
          </w:p>
          <w:p w:rsidR="00207F03" w:rsidRPr="00E15866" w:rsidP="00E15866" w14:paraId="781879FA" w14:textId="076A38E6">
            <w:pPr>
              <w:pStyle w:val="Docketstyle"/>
              <w:spacing w:line="276" w:lineRule="auto"/>
              <w:jc w:val="center"/>
              <w:rPr>
                <w:rFonts w:ascii="Arial" w:hAnsi="Arial" w:cs="Arial"/>
                <w:color w:val="333333"/>
                <w:shd w:val="clear" w:color="auto" w:fill="auto"/>
              </w:rPr>
            </w:pPr>
            <w:r w:rsidRPr="00E15866">
              <w:rPr>
                <w:rFonts w:ascii="Arial" w:hAnsi="Arial" w:cs="Arial"/>
                <w:color w:val="333333"/>
                <w:lang w:val="en"/>
              </w:rPr>
              <w:t>ENERGY EFFICIENCY IMPLEMENTATION PROJECT UNDER 16 TAC § 25.181</w:t>
            </w:r>
          </w:p>
        </w:tc>
        <w:tc>
          <w:tcPr>
            <w:tcW w:w="360" w:type="dxa"/>
          </w:tcPr>
          <w:p w:rsidR="00207F03" w:rsidRPr="00EA3591" w:rsidP="00207F03" w14:paraId="4DBD888B" w14:textId="77777777">
            <w:pPr>
              <w:pStyle w:val="Docketstyle"/>
              <w:spacing w:line="276" w:lineRule="auto"/>
              <w:rPr>
                <w:rFonts w:ascii="Arial" w:hAnsi="Arial" w:cs="Arial"/>
                <w:color w:val="auto"/>
                <w:shd w:val="clear" w:color="auto" w:fill="auto"/>
              </w:rPr>
            </w:pPr>
            <w:r w:rsidRPr="00EA3591">
              <w:rPr>
                <w:rFonts w:ascii="Arial" w:hAnsi="Arial" w:cs="Arial"/>
              </w:rPr>
              <w:t>§</w:t>
            </w:r>
          </w:p>
          <w:p w:rsidR="00207F03" w:rsidRPr="00EA3591" w:rsidP="00207F03" w14:paraId="7B2C0E8A" w14:textId="77777777">
            <w:pPr>
              <w:pStyle w:val="Docketstyle"/>
              <w:spacing w:line="276" w:lineRule="auto"/>
              <w:rPr>
                <w:rFonts w:ascii="Arial" w:hAnsi="Arial" w:cs="Arial"/>
                <w:color w:val="auto"/>
                <w:shd w:val="clear" w:color="auto" w:fill="auto"/>
              </w:rPr>
            </w:pPr>
            <w:r w:rsidRPr="00EA3591">
              <w:rPr>
                <w:rFonts w:ascii="Arial" w:hAnsi="Arial" w:cs="Arial"/>
              </w:rPr>
              <w:t>§</w:t>
            </w:r>
          </w:p>
          <w:p w:rsidR="00207F03" w:rsidRPr="00EA3591" w:rsidP="00207F03" w14:paraId="2A9D9FBD" w14:textId="77777777">
            <w:pPr>
              <w:pStyle w:val="Docketstyle"/>
              <w:spacing w:line="276" w:lineRule="auto"/>
              <w:rPr>
                <w:rFonts w:ascii="Arial" w:hAnsi="Arial" w:cs="Arial"/>
                <w:color w:val="auto"/>
                <w:shd w:val="clear" w:color="auto" w:fill="auto"/>
              </w:rPr>
            </w:pPr>
            <w:r w:rsidRPr="00EA3591">
              <w:rPr>
                <w:rFonts w:ascii="Arial" w:hAnsi="Arial" w:cs="Arial"/>
              </w:rPr>
              <w:t>§</w:t>
            </w:r>
          </w:p>
          <w:p w:rsidR="00207F03" w:rsidRPr="00EA3591" w:rsidP="00207F03" w14:paraId="06554621" w14:textId="6659B55D">
            <w:pPr>
              <w:pStyle w:val="Docketstyle"/>
              <w:spacing w:line="276" w:lineRule="auto"/>
              <w:rPr>
                <w:rFonts w:ascii="Arial" w:hAnsi="Arial" w:cs="Arial"/>
                <w:color w:val="auto"/>
                <w:shd w:val="clear" w:color="auto" w:fill="auto"/>
              </w:rPr>
            </w:pPr>
            <w:r w:rsidRPr="00EA3591">
              <w:rPr>
                <w:rFonts w:ascii="Arial" w:hAnsi="Arial" w:cs="Arial"/>
              </w:rPr>
              <w:t>§</w:t>
            </w:r>
          </w:p>
          <w:p w:rsidR="00207F03" w:rsidRPr="00EA3591" w:rsidP="00207F03" w14:paraId="10701F75" w14:textId="1A8FAEE4">
            <w:pPr>
              <w:pStyle w:val="Docketstyle"/>
              <w:spacing w:line="276" w:lineRule="auto"/>
              <w:rPr>
                <w:rFonts w:ascii="Arial" w:hAnsi="Arial" w:cs="Arial"/>
                <w:color w:val="auto"/>
                <w:shd w:val="clear" w:color="auto" w:fill="auto"/>
              </w:rPr>
            </w:pPr>
            <w:r w:rsidRPr="00EA3591">
              <w:rPr>
                <w:rFonts w:ascii="Arial" w:hAnsi="Arial" w:cs="Arial"/>
              </w:rPr>
              <w:t>§</w:t>
            </w:r>
          </w:p>
          <w:p w:rsidR="00207F03" w:rsidRPr="00EA3591" w:rsidP="00207F03" w14:paraId="38B3F099" w14:textId="0FCAAF11">
            <w:pPr>
              <w:pStyle w:val="Docketstyle"/>
              <w:spacing w:line="276" w:lineRule="auto"/>
              <w:rPr>
                <w:rFonts w:ascii="Arial" w:hAnsi="Arial" w:cs="Arial"/>
                <w:color w:val="auto"/>
                <w:shd w:val="clear" w:color="auto" w:fill="auto"/>
              </w:rPr>
            </w:pPr>
          </w:p>
        </w:tc>
        <w:tc>
          <w:tcPr>
            <w:tcW w:w="360" w:type="dxa"/>
            <w:hideMark/>
          </w:tcPr>
          <w:p w:rsidR="00207F03" w:rsidRPr="00EA3591" w:rsidP="00207F03" w14:paraId="237E8FEC" w14:textId="77777777">
            <w:pPr>
              <w:pStyle w:val="Docketstyle"/>
              <w:spacing w:line="276" w:lineRule="auto"/>
              <w:rPr>
                <w:rFonts w:ascii="Arial" w:hAnsi="Arial" w:cs="Arial"/>
                <w:color w:val="auto"/>
                <w:shd w:val="clear" w:color="auto" w:fill="auto"/>
              </w:rPr>
            </w:pPr>
          </w:p>
          <w:p w:rsidR="00207F03" w:rsidRPr="00EA3591" w:rsidP="00207F03" w14:paraId="496405EF" w14:textId="77777777">
            <w:pPr>
              <w:pStyle w:val="Docketstyle"/>
              <w:spacing w:line="276" w:lineRule="auto"/>
              <w:rPr>
                <w:rFonts w:ascii="Arial" w:hAnsi="Arial" w:cs="Arial"/>
                <w:color w:val="auto"/>
                <w:shd w:val="clear" w:color="auto" w:fill="auto"/>
              </w:rPr>
            </w:pPr>
          </w:p>
          <w:p w:rsidR="00207F03" w:rsidRPr="00EA3591" w:rsidP="00207F03" w14:paraId="1D447A51" w14:textId="77777777">
            <w:pPr>
              <w:pStyle w:val="Docketstyle"/>
              <w:spacing w:line="276" w:lineRule="auto"/>
              <w:rPr>
                <w:rFonts w:ascii="Arial" w:hAnsi="Arial" w:cs="Arial"/>
                <w:color w:val="auto"/>
                <w:shd w:val="clear" w:color="auto" w:fill="auto"/>
              </w:rPr>
            </w:pPr>
          </w:p>
          <w:p w:rsidR="00207F03" w:rsidRPr="00EA3591" w:rsidP="00207F03" w14:paraId="5E0C5F49" w14:textId="34C8B552">
            <w:pPr>
              <w:pStyle w:val="Docketstyle"/>
              <w:spacing w:line="276" w:lineRule="auto"/>
              <w:rPr>
                <w:rFonts w:ascii="Arial" w:hAnsi="Arial" w:cs="Arial"/>
                <w:color w:val="auto"/>
                <w:shd w:val="clear" w:color="auto" w:fill="auto"/>
              </w:rPr>
            </w:pPr>
          </w:p>
          <w:p w:rsidR="00207F03" w:rsidRPr="00EA3591" w:rsidP="00207F03" w14:paraId="3BD9B911" w14:textId="7CE7E525">
            <w:pPr>
              <w:pStyle w:val="Docketstyle"/>
              <w:spacing w:line="276" w:lineRule="auto"/>
              <w:rPr>
                <w:rFonts w:ascii="Arial" w:hAnsi="Arial" w:cs="Arial"/>
                <w:color w:val="auto"/>
                <w:shd w:val="clear" w:color="auto" w:fill="auto"/>
              </w:rPr>
            </w:pPr>
          </w:p>
          <w:p w:rsidR="00207F03" w:rsidRPr="00EA3591" w:rsidP="00207F03" w14:paraId="55105A0B" w14:textId="77777777">
            <w:pPr>
              <w:pStyle w:val="Docketstyle"/>
              <w:spacing w:line="276" w:lineRule="auto"/>
              <w:rPr>
                <w:rFonts w:ascii="Arial" w:hAnsi="Arial" w:cs="Arial"/>
                <w:color w:val="auto"/>
                <w:shd w:val="clear" w:color="auto" w:fill="auto"/>
              </w:rPr>
            </w:pPr>
          </w:p>
        </w:tc>
        <w:tc>
          <w:tcPr>
            <w:tcW w:w="4392" w:type="dxa"/>
          </w:tcPr>
          <w:p w:rsidR="00932572" w:rsidRPr="00EA3591" w:rsidP="00207F03" w14:paraId="21EA657B" w14:textId="77777777">
            <w:pPr>
              <w:pStyle w:val="DocketstylePUC"/>
              <w:spacing w:line="276" w:lineRule="auto"/>
              <w:rPr>
                <w:rFonts w:ascii="Arial" w:hAnsi="Arial" w:cs="Arial"/>
                <w:color w:val="auto"/>
                <w:shd w:val="clear" w:color="auto" w:fill="auto"/>
              </w:rPr>
            </w:pPr>
          </w:p>
          <w:p w:rsidR="00E93EDA" w:rsidP="00932572" w14:paraId="64A7B3BB" w14:textId="77777777">
            <w:pPr>
              <w:pStyle w:val="DocketstylePUC"/>
              <w:spacing w:line="360" w:lineRule="auto"/>
              <w:rPr>
                <w:rFonts w:ascii="Arial" w:hAnsi="Arial" w:cs="Arial"/>
                <w:color w:val="auto"/>
                <w:shd w:val="clear" w:color="auto" w:fill="auto"/>
              </w:rPr>
            </w:pPr>
            <w:r w:rsidRPr="00EA3591">
              <w:rPr>
                <w:rFonts w:ascii="Arial" w:hAnsi="Arial" w:cs="Arial"/>
              </w:rPr>
              <w:t xml:space="preserve">BEFORE THE </w:t>
            </w:r>
          </w:p>
          <w:p w:rsidR="00207F03" w:rsidRPr="00EA3591" w:rsidP="00932572" w14:paraId="6F5B2F23" w14:textId="1D06C764">
            <w:pPr>
              <w:pStyle w:val="DocketstylePUC"/>
              <w:spacing w:line="360" w:lineRule="auto"/>
              <w:rPr>
                <w:rFonts w:ascii="Arial" w:hAnsi="Arial" w:cs="Arial"/>
                <w:color w:val="auto"/>
                <w:shd w:val="clear" w:color="auto" w:fill="auto"/>
              </w:rPr>
            </w:pPr>
            <w:r>
              <w:rPr>
                <w:rFonts w:ascii="Arial" w:hAnsi="Arial" w:cs="Arial"/>
              </w:rPr>
              <w:t>PUBLIC UTILITY COMMISSION</w:t>
            </w:r>
          </w:p>
          <w:p w:rsidR="00207F03" w:rsidRPr="00EA3591" w:rsidP="00207F03" w14:paraId="182C3513" w14:textId="281C1781">
            <w:pPr>
              <w:pStyle w:val="DocketstylePUC"/>
              <w:spacing w:line="276" w:lineRule="auto"/>
              <w:rPr>
                <w:rFonts w:ascii="Arial" w:hAnsi="Arial" w:cs="Arial"/>
                <w:color w:val="auto"/>
                <w:shd w:val="clear" w:color="auto" w:fill="auto"/>
              </w:rPr>
            </w:pPr>
            <w:r w:rsidRPr="00EA3591">
              <w:rPr>
                <w:rFonts w:ascii="Arial" w:hAnsi="Arial" w:cs="Arial"/>
              </w:rPr>
              <w:t>OF</w:t>
            </w:r>
            <w:r w:rsidR="00E93EDA">
              <w:rPr>
                <w:rFonts w:ascii="Arial" w:hAnsi="Arial" w:cs="Arial"/>
              </w:rPr>
              <w:t xml:space="preserve"> TEXAS</w:t>
            </w:r>
          </w:p>
          <w:p w:rsidR="00207F03" w:rsidRPr="00EA3591" w:rsidP="00207F03" w14:paraId="72FCC7FB" w14:textId="3341551D">
            <w:pPr>
              <w:pStyle w:val="DocketstylePUC"/>
              <w:spacing w:line="276" w:lineRule="auto"/>
              <w:rPr>
                <w:rFonts w:ascii="Arial" w:hAnsi="Arial" w:cs="Arial"/>
                <w:color w:val="auto"/>
                <w:shd w:val="clear" w:color="auto" w:fill="auto"/>
              </w:rPr>
            </w:pPr>
          </w:p>
          <w:p w:rsidR="00207F03" w:rsidRPr="00EA3591" w:rsidP="00207F03" w14:paraId="6690DD38" w14:textId="77777777">
            <w:pPr>
              <w:pStyle w:val="DocketstylePUC"/>
              <w:spacing w:line="276" w:lineRule="auto"/>
              <w:rPr>
                <w:rFonts w:ascii="Arial" w:hAnsi="Arial" w:cs="Arial"/>
                <w:color w:val="auto"/>
                <w:shd w:val="clear" w:color="auto" w:fill="auto"/>
              </w:rPr>
            </w:pPr>
          </w:p>
        </w:tc>
      </w:tr>
    </w:tbl>
    <w:p w:rsidR="00BE60EF" w:rsidRPr="00E93EDA" w:rsidP="000309F6" w14:paraId="0C793DF3" w14:textId="7A9A366C">
      <w:pPr>
        <w:spacing w:line="249" w:lineRule="auto"/>
        <w:jc w:val="center"/>
        <w:rPr>
          <w:b/>
          <w:color w:val="010101"/>
          <w:w w:val="105"/>
          <w:sz w:val="24"/>
          <w:szCs w:val="24"/>
          <w:u w:val="single"/>
          <w:shd w:val="clear" w:color="auto" w:fill="auto"/>
        </w:rPr>
      </w:pPr>
      <w:r w:rsidRPr="00E93EDA">
        <w:rPr>
          <w:b/>
          <w:color w:val="010101"/>
          <w:w w:val="105"/>
          <w:sz w:val="24"/>
          <w:szCs w:val="24"/>
          <w:u w:val="single"/>
        </w:rPr>
        <w:t xml:space="preserve">COMMENTS OF </w:t>
      </w:r>
      <w:r w:rsidRPr="00E93EDA" w:rsidR="005D71AE">
        <w:rPr>
          <w:b/>
          <w:color w:val="010101"/>
          <w:w w:val="105"/>
          <w:sz w:val="24"/>
          <w:szCs w:val="24"/>
          <w:u w:val="single"/>
        </w:rPr>
        <w:t>ONCOR ELECTRIC DELIVERY COMPANY LLC</w:t>
      </w:r>
    </w:p>
    <w:p w:rsidR="000309F6" w:rsidRPr="00E93EDA" w:rsidP="000309F6" w14:paraId="02A589BF" w14:textId="77777777">
      <w:pPr>
        <w:spacing w:line="249" w:lineRule="auto"/>
        <w:jc w:val="center"/>
        <w:rPr>
          <w:b/>
          <w:color w:val="010101"/>
          <w:sz w:val="24"/>
          <w:szCs w:val="24"/>
          <w:u w:val="single"/>
          <w:shd w:val="clear" w:color="auto" w:fill="auto"/>
        </w:rPr>
      </w:pPr>
    </w:p>
    <w:p w:rsidR="00BE60EF" w:rsidRPr="00EA3591" w:rsidP="000309F6" w14:paraId="224A555E" w14:textId="77777777">
      <w:pPr>
        <w:spacing w:line="360" w:lineRule="auto"/>
        <w:jc w:val="both"/>
        <w:rPr>
          <w:b/>
          <w:color w:val="010101"/>
          <w:w w:val="105"/>
          <w:sz w:val="24"/>
          <w:szCs w:val="24"/>
          <w:shd w:val="clear" w:color="auto" w:fill="auto"/>
        </w:rPr>
      </w:pPr>
      <w:r w:rsidRPr="00EA3591">
        <w:rPr>
          <w:b/>
          <w:color w:val="010101"/>
          <w:w w:val="105"/>
          <w:sz w:val="24"/>
          <w:szCs w:val="24"/>
        </w:rPr>
        <w:t>TO THE HONORABLE PUBLIC UTILITY COMMISSION OF TEXAS:</w:t>
      </w:r>
    </w:p>
    <w:p w:rsidR="004B7A7F" w:rsidRPr="00EA3591" w:rsidP="000309F6" w14:paraId="596DA8BD" w14:textId="632C42E6">
      <w:pPr>
        <w:spacing w:line="360" w:lineRule="auto"/>
        <w:ind w:firstLine="720"/>
        <w:jc w:val="both"/>
        <w:rPr>
          <w:color w:val="000000"/>
          <w:sz w:val="24"/>
          <w:szCs w:val="24"/>
          <w:shd w:val="clear" w:color="auto" w:fill="auto"/>
        </w:rPr>
      </w:pPr>
      <w:r w:rsidRPr="00EA3591">
        <w:rPr>
          <w:rStyle w:val="BodyTextChar"/>
        </w:rPr>
        <w:t>COMES NOW, Oncor Electric Delivery Company LLC ("Oncor") and files th</w:t>
      </w:r>
      <w:r w:rsidR="00E93EDA">
        <w:rPr>
          <w:rStyle w:val="BodyTextChar"/>
        </w:rPr>
        <w:t>ese comments</w:t>
      </w:r>
      <w:r w:rsidRPr="00EA3591" w:rsidR="000309F6">
        <w:rPr>
          <w:rStyle w:val="BodyTextChar"/>
        </w:rPr>
        <w:t xml:space="preserve"> in support of </w:t>
      </w:r>
      <w:r w:rsidRPr="00EA3591" w:rsidR="00F4309B">
        <w:rPr>
          <w:rStyle w:val="BodyTextChar"/>
        </w:rPr>
        <w:t xml:space="preserve">providing load management programs for nonresidential customers during winter </w:t>
      </w:r>
      <w:r w:rsidRPr="00EA3591" w:rsidR="00953F50">
        <w:rPr>
          <w:rStyle w:val="BodyTextChar"/>
        </w:rPr>
        <w:t>months</w:t>
      </w:r>
      <w:r w:rsidRPr="00EA3591" w:rsidR="00F4309B">
        <w:rPr>
          <w:rStyle w:val="BodyTextChar"/>
        </w:rPr>
        <w:t xml:space="preserve">.  </w:t>
      </w:r>
      <w:r w:rsidRPr="00EA3591" w:rsidR="00207F03">
        <w:rPr>
          <w:rStyle w:val="BodyTextChar"/>
        </w:rPr>
        <w:t xml:space="preserve">Texas law </w:t>
      </w:r>
      <w:r w:rsidRPr="00EA3591" w:rsidR="003E065C">
        <w:rPr>
          <w:rStyle w:val="BodyTextChar"/>
        </w:rPr>
        <w:t>provides</w:t>
      </w:r>
      <w:r w:rsidRPr="00EA3591" w:rsidR="00207F03">
        <w:rPr>
          <w:rStyle w:val="BodyTextChar"/>
        </w:rPr>
        <w:t xml:space="preserve"> transmission and distribution utilities with two me</w:t>
      </w:r>
      <w:r w:rsidRPr="00EA3591">
        <w:rPr>
          <w:rStyle w:val="BodyTextChar"/>
        </w:rPr>
        <w:t>thods</w:t>
      </w:r>
      <w:r w:rsidRPr="00EA3591" w:rsidR="00207F03">
        <w:rPr>
          <w:rStyle w:val="BodyTextChar"/>
        </w:rPr>
        <w:t xml:space="preserve"> to </w:t>
      </w:r>
      <w:r w:rsidRPr="00EA3591" w:rsidR="003E065C">
        <w:rPr>
          <w:rStyle w:val="BodyTextChar"/>
        </w:rPr>
        <w:t>offer</w:t>
      </w:r>
      <w:r w:rsidRPr="00EA3591">
        <w:rPr>
          <w:rStyle w:val="BodyTextChar"/>
        </w:rPr>
        <w:t xml:space="preserve"> load management programs for</w:t>
      </w:r>
      <w:r w:rsidRPr="00EA3591" w:rsidR="00207F03">
        <w:rPr>
          <w:rStyle w:val="BodyTextChar"/>
        </w:rPr>
        <w:t xml:space="preserve"> nonresidential customers during winter months</w:t>
      </w:r>
      <w:r w:rsidRPr="00EA3591">
        <w:rPr>
          <w:rStyle w:val="BodyTextChar"/>
        </w:rPr>
        <w:t xml:space="preserve">.  One method is found in </w:t>
      </w:r>
      <w:r w:rsidRPr="00EA3591" w:rsidR="00866568">
        <w:rPr>
          <w:rStyle w:val="BodyTextChar"/>
        </w:rPr>
        <w:t>§</w:t>
      </w:r>
      <w:r w:rsidRPr="00EA3591">
        <w:rPr>
          <w:rStyle w:val="BodyTextChar"/>
        </w:rPr>
        <w:t xml:space="preserve"> 38.075</w:t>
      </w:r>
      <w:r w:rsidR="00CB0A70">
        <w:rPr>
          <w:rStyle w:val="BodyTextChar"/>
        </w:rPr>
        <w:t>(e)</w:t>
      </w:r>
      <w:r w:rsidRPr="00EA3591">
        <w:rPr>
          <w:rStyle w:val="BodyTextChar"/>
        </w:rPr>
        <w:t xml:space="preserve"> of</w:t>
      </w:r>
      <w:r w:rsidRPr="00EA3591" w:rsidR="003E065C">
        <w:rPr>
          <w:rStyle w:val="BodyTextChar"/>
        </w:rPr>
        <w:t xml:space="preserve"> the</w:t>
      </w:r>
      <w:r w:rsidRPr="00EA3591">
        <w:rPr>
          <w:rStyle w:val="BodyTextChar"/>
        </w:rPr>
        <w:t xml:space="preserve"> </w:t>
      </w:r>
      <w:r w:rsidRPr="00EA3591">
        <w:rPr>
          <w:color w:val="000000" w:themeColor="text1"/>
          <w:sz w:val="24"/>
          <w:szCs w:val="24"/>
        </w:rPr>
        <w:t>Public Utility Regulatory Act (</w:t>
      </w:r>
      <w:r w:rsidRPr="00EA3591" w:rsidR="003F15FB">
        <w:rPr>
          <w:color w:val="000000" w:themeColor="text1"/>
          <w:sz w:val="24"/>
          <w:szCs w:val="24"/>
        </w:rPr>
        <w:t>“</w:t>
      </w:r>
      <w:r w:rsidRPr="00EA3591">
        <w:rPr>
          <w:color w:val="000000" w:themeColor="text1"/>
          <w:sz w:val="24"/>
          <w:szCs w:val="24"/>
        </w:rPr>
        <w:t>PURA</w:t>
      </w:r>
      <w:r w:rsidRPr="00EA3591" w:rsidR="003F15FB">
        <w:rPr>
          <w:color w:val="000000" w:themeColor="text1"/>
          <w:sz w:val="24"/>
          <w:szCs w:val="24"/>
        </w:rPr>
        <w:t>”</w:t>
      </w:r>
      <w:r w:rsidRPr="00EA3591">
        <w:rPr>
          <w:color w:val="000000" w:themeColor="text1"/>
          <w:sz w:val="24"/>
          <w:szCs w:val="24"/>
        </w:rPr>
        <w:t>)</w:t>
      </w:r>
      <w:r>
        <w:rPr>
          <w:rStyle w:val="FootnoteReference"/>
          <w:color w:val="000000" w:themeColor="text1"/>
          <w:sz w:val="24"/>
          <w:szCs w:val="24"/>
        </w:rPr>
        <w:footnoteReference w:id="2"/>
      </w:r>
      <w:r w:rsidR="00CB0A70">
        <w:rPr>
          <w:color w:val="000000" w:themeColor="text1"/>
          <w:sz w:val="24"/>
          <w:szCs w:val="24"/>
        </w:rPr>
        <w:t>; i.e., Senate Bill 3</w:t>
      </w:r>
      <w:r w:rsidR="00E15866">
        <w:rPr>
          <w:color w:val="000000" w:themeColor="text1"/>
          <w:sz w:val="24"/>
          <w:szCs w:val="24"/>
        </w:rPr>
        <w:t>.</w:t>
      </w:r>
    </w:p>
    <w:p w:rsidR="00F30BE8" w:rsidRPr="00EA3591" w:rsidP="00F30BE8" w14:paraId="69782186" w14:textId="3087E737">
      <w:pPr>
        <w:spacing w:line="360" w:lineRule="auto"/>
        <w:ind w:firstLine="720"/>
        <w:jc w:val="both"/>
        <w:rPr>
          <w:color w:val="auto"/>
          <w:sz w:val="24"/>
          <w:szCs w:val="24"/>
          <w:shd w:val="clear" w:color="auto" w:fill="auto"/>
        </w:rPr>
      </w:pPr>
      <w:r w:rsidRPr="00EA3591">
        <w:rPr>
          <w:color w:val="000000" w:themeColor="text1"/>
          <w:sz w:val="24"/>
          <w:szCs w:val="24"/>
        </w:rPr>
        <w:t xml:space="preserve">The other method is found in the </w:t>
      </w:r>
      <w:r w:rsidRPr="00EA3591" w:rsidR="00866568">
        <w:rPr>
          <w:color w:val="000000" w:themeColor="text1"/>
          <w:sz w:val="24"/>
          <w:szCs w:val="24"/>
        </w:rPr>
        <w:t>energy efficiency laws and</w:t>
      </w:r>
      <w:r w:rsidRPr="00EA3591">
        <w:rPr>
          <w:color w:val="000000" w:themeColor="text1"/>
          <w:sz w:val="24"/>
          <w:szCs w:val="24"/>
        </w:rPr>
        <w:t xml:space="preserve"> rules</w:t>
      </w:r>
      <w:r w:rsidRPr="00EA3591" w:rsidR="00866568">
        <w:rPr>
          <w:color w:val="000000" w:themeColor="text1"/>
          <w:sz w:val="24"/>
          <w:szCs w:val="24"/>
        </w:rPr>
        <w:t xml:space="preserve">.  Specifically, PURA </w:t>
      </w:r>
      <w:r w:rsidRPr="00EA3591" w:rsidR="00866568">
        <w:rPr>
          <w:rStyle w:val="BodyTextChar"/>
        </w:rPr>
        <w:t xml:space="preserve">§ 39.905(a)(2) states that it is the “goal of the legislature that all customers, in all customer classes, will have a choice of and access to energy efficiency alternatives and other choices from the market that allow each customer to reduce energy consumption, summer and </w:t>
      </w:r>
      <w:r w:rsidRPr="00EA3591" w:rsidR="00866568">
        <w:rPr>
          <w:rStyle w:val="BodyTextChar"/>
          <w:b/>
        </w:rPr>
        <w:t>winter peak demand</w:t>
      </w:r>
      <w:r w:rsidRPr="00EA3591" w:rsidR="00866568">
        <w:rPr>
          <w:rStyle w:val="BodyTextChar"/>
        </w:rPr>
        <w:t xml:space="preserve">, or </w:t>
      </w:r>
      <w:r w:rsidRPr="00EA3591" w:rsidR="00866568">
        <w:rPr>
          <w:rStyle w:val="BodyTextChar"/>
        </w:rPr>
        <w:t>energy costs” (emphasis added).</w:t>
      </w:r>
      <w:r w:rsidRPr="00EA3591" w:rsidR="00866568">
        <w:rPr>
          <w:color w:val="000000" w:themeColor="text1"/>
          <w:sz w:val="24"/>
          <w:szCs w:val="24"/>
        </w:rPr>
        <w:t xml:space="preserve">  </w:t>
      </w:r>
      <w:r w:rsidRPr="00EA3591">
        <w:rPr>
          <w:color w:val="000000" w:themeColor="text1"/>
          <w:sz w:val="24"/>
          <w:szCs w:val="24"/>
        </w:rPr>
        <w:t xml:space="preserve"> </w:t>
      </w:r>
      <w:r w:rsidRPr="00EA3591" w:rsidR="00866568">
        <w:rPr>
          <w:color w:val="000000" w:themeColor="text1"/>
          <w:sz w:val="24"/>
          <w:szCs w:val="24"/>
        </w:rPr>
        <w:t xml:space="preserve">Similar language is stated </w:t>
      </w:r>
      <w:r w:rsidRPr="00EA3591">
        <w:rPr>
          <w:color w:val="000000" w:themeColor="text1"/>
          <w:sz w:val="24"/>
          <w:szCs w:val="24"/>
        </w:rPr>
        <w:t xml:space="preserve">in </w:t>
      </w:r>
      <w:r w:rsidRPr="00EA3591" w:rsidR="00207F03">
        <w:rPr>
          <w:rStyle w:val="BodyTextChar"/>
        </w:rPr>
        <w:t>1</w:t>
      </w:r>
      <w:r w:rsidRPr="00EA3591" w:rsidR="00F4309B">
        <w:rPr>
          <w:rStyle w:val="BodyTextChar"/>
        </w:rPr>
        <w:t>6 Tex. Admin. Code § 25.181</w:t>
      </w:r>
      <w:r w:rsidRPr="00EA3591" w:rsidR="00866568">
        <w:rPr>
          <w:rStyle w:val="BodyTextChar"/>
        </w:rPr>
        <w:t>(a)(2)</w:t>
      </w:r>
      <w:r w:rsidRPr="00EA3591" w:rsidR="003F15FB">
        <w:rPr>
          <w:rStyle w:val="BodyTextChar"/>
        </w:rPr>
        <w:t xml:space="preserve"> (“TAC”)</w:t>
      </w:r>
      <w:r w:rsidRPr="00EA3591">
        <w:rPr>
          <w:rStyle w:val="BodyTextChar"/>
        </w:rPr>
        <w:t xml:space="preserve">.   Furthermore, 16 </w:t>
      </w:r>
      <w:r w:rsidRPr="00EA3591">
        <w:rPr>
          <w:sz w:val="24"/>
          <w:szCs w:val="24"/>
        </w:rPr>
        <w:t>TAC §</w:t>
      </w:r>
      <w:r w:rsidRPr="00EA3591" w:rsidR="003F15FB">
        <w:rPr>
          <w:sz w:val="24"/>
          <w:szCs w:val="24"/>
        </w:rPr>
        <w:t xml:space="preserve"> </w:t>
      </w:r>
      <w:r w:rsidRPr="00EA3591">
        <w:rPr>
          <w:sz w:val="24"/>
          <w:szCs w:val="24"/>
        </w:rPr>
        <w:t>25.181(g)(5) states “</w:t>
      </w:r>
      <w:r w:rsidRPr="00EA3591" w:rsidR="003F15FB">
        <w:rPr>
          <w:sz w:val="24"/>
          <w:szCs w:val="24"/>
        </w:rPr>
        <w:t>[e]</w:t>
      </w:r>
      <w:r w:rsidRPr="00EA3591">
        <w:rPr>
          <w:sz w:val="24"/>
          <w:szCs w:val="24"/>
        </w:rPr>
        <w:t xml:space="preserve">ach electric utility in an area in which customer choice is offered shall conduct programs to encourage and facilitate the participation of retail electric providers and energy efficiency service providers in the delivery of efficiency and </w:t>
      </w:r>
      <w:r w:rsidRPr="00EA3591">
        <w:rPr>
          <w:b/>
          <w:bCs/>
          <w:i/>
          <w:iCs/>
          <w:sz w:val="24"/>
          <w:szCs w:val="24"/>
        </w:rPr>
        <w:t>demand response programs</w:t>
      </w:r>
      <w:r w:rsidRPr="00EA3591">
        <w:rPr>
          <w:bCs/>
          <w:iCs/>
          <w:sz w:val="24"/>
          <w:szCs w:val="24"/>
        </w:rPr>
        <w:t>”</w:t>
      </w:r>
      <w:r w:rsidRPr="00EA3591">
        <w:rPr>
          <w:sz w:val="24"/>
          <w:szCs w:val="24"/>
        </w:rPr>
        <w:t xml:space="preserve"> (emphasis added).  16</w:t>
      </w:r>
      <w:r w:rsidRPr="00EA3591" w:rsidR="003F15FB">
        <w:rPr>
          <w:sz w:val="24"/>
          <w:szCs w:val="24"/>
        </w:rPr>
        <w:t xml:space="preserve"> </w:t>
      </w:r>
      <w:r w:rsidRPr="00EA3591">
        <w:rPr>
          <w:sz w:val="24"/>
          <w:szCs w:val="24"/>
        </w:rPr>
        <w:t>TAC §</w:t>
      </w:r>
      <w:r w:rsidR="00D55687">
        <w:rPr>
          <w:sz w:val="24"/>
          <w:szCs w:val="24"/>
        </w:rPr>
        <w:t xml:space="preserve"> </w:t>
      </w:r>
      <w:r w:rsidRPr="00EA3591">
        <w:rPr>
          <w:sz w:val="24"/>
          <w:szCs w:val="24"/>
        </w:rPr>
        <w:t>25.181(c)(36) defines load management as “</w:t>
      </w:r>
      <w:r w:rsidRPr="00EA3591" w:rsidR="003F15FB">
        <w:rPr>
          <w:sz w:val="24"/>
          <w:szCs w:val="24"/>
        </w:rPr>
        <w:t>[l]</w:t>
      </w:r>
      <w:r w:rsidRPr="00EA3591">
        <w:rPr>
          <w:sz w:val="24"/>
          <w:szCs w:val="24"/>
        </w:rPr>
        <w:t xml:space="preserve">oad control activities that result in a reduction in peak demand, or a shifting of energy usage from a peak to an off-peak period or from high-price periods to </w:t>
      </w:r>
    </w:p>
    <w:p w:rsidR="00F30BE8" w:rsidRPr="00EA3591" w:rsidP="00C341A5" w14:paraId="5CA58FF4" w14:textId="69B97784">
      <w:pPr>
        <w:spacing w:line="360" w:lineRule="auto"/>
        <w:jc w:val="both"/>
        <w:rPr>
          <w:color w:val="auto"/>
          <w:sz w:val="24"/>
          <w:szCs w:val="24"/>
          <w:shd w:val="clear" w:color="auto" w:fill="auto"/>
        </w:rPr>
      </w:pPr>
      <w:r w:rsidRPr="00EA3591">
        <w:rPr>
          <w:sz w:val="24"/>
          <w:szCs w:val="24"/>
        </w:rPr>
        <w:t xml:space="preserve">lower price periods.”  </w:t>
      </w:r>
    </w:p>
    <w:p w:rsidR="00C341A5" w:rsidP="006F78DA" w14:paraId="4976CA19" w14:textId="05F3D6FF">
      <w:pPr>
        <w:tabs>
          <w:tab w:val="num" w:pos="720"/>
        </w:tabs>
        <w:spacing w:line="360" w:lineRule="auto"/>
        <w:jc w:val="both"/>
        <w:rPr>
          <w:color w:val="auto"/>
          <w:sz w:val="24"/>
          <w:szCs w:val="24"/>
          <w:shd w:val="clear" w:color="auto" w:fill="auto"/>
        </w:rPr>
      </w:pPr>
      <w:r>
        <w:rPr>
          <w:rStyle w:val="BodyTextChar"/>
        </w:rPr>
        <w:tab/>
      </w:r>
      <w:r w:rsidRPr="00EA3591" w:rsidR="00F30BE8">
        <w:rPr>
          <w:rStyle w:val="BodyTextChar"/>
        </w:rPr>
        <w:t xml:space="preserve">Oncor is developing a </w:t>
      </w:r>
      <w:r w:rsidR="00343834">
        <w:rPr>
          <w:rStyle w:val="BodyTextChar"/>
        </w:rPr>
        <w:t xml:space="preserve">pilot </w:t>
      </w:r>
      <w:r w:rsidR="00D55687">
        <w:rPr>
          <w:rStyle w:val="BodyTextChar"/>
        </w:rPr>
        <w:t xml:space="preserve">Program </w:t>
      </w:r>
      <w:r w:rsidRPr="00EA3591" w:rsidR="003F15FB">
        <w:rPr>
          <w:rStyle w:val="BodyTextChar"/>
        </w:rPr>
        <w:t xml:space="preserve">pursuant to </w:t>
      </w:r>
      <w:r w:rsidRPr="00EA3591" w:rsidR="003F15FB">
        <w:rPr>
          <w:sz w:val="24"/>
          <w:szCs w:val="24"/>
        </w:rPr>
        <w:t>16 TAC §</w:t>
      </w:r>
      <w:r w:rsidR="00921264">
        <w:rPr>
          <w:sz w:val="24"/>
          <w:szCs w:val="24"/>
        </w:rPr>
        <w:t xml:space="preserve"> </w:t>
      </w:r>
      <w:r w:rsidRPr="00EA3591" w:rsidR="003F15FB">
        <w:rPr>
          <w:sz w:val="24"/>
          <w:szCs w:val="24"/>
        </w:rPr>
        <w:t>25.181</w:t>
      </w:r>
      <w:r w:rsidRPr="00EA3591" w:rsidR="00F30BE8">
        <w:rPr>
          <w:rStyle w:val="BodyTextChar"/>
        </w:rPr>
        <w:t xml:space="preserve"> that will </w:t>
      </w:r>
      <w:r w:rsidRPr="00EA3591" w:rsidR="00F30BE8">
        <w:rPr>
          <w:sz w:val="24"/>
          <w:szCs w:val="24"/>
        </w:rPr>
        <w:t>provide load reduction resources to ERCOT</w:t>
      </w:r>
      <w:r w:rsidRPr="00EA3591" w:rsidR="003F15FB">
        <w:rPr>
          <w:sz w:val="24"/>
          <w:szCs w:val="24"/>
        </w:rPr>
        <w:t xml:space="preserve"> consistent with </w:t>
      </w:r>
      <w:r w:rsidR="00CB0A70">
        <w:rPr>
          <w:sz w:val="24"/>
          <w:szCs w:val="24"/>
        </w:rPr>
        <w:t xml:space="preserve">PURA </w:t>
      </w:r>
      <w:r w:rsidRPr="00EA3591" w:rsidR="00CB0A70">
        <w:rPr>
          <w:rStyle w:val="BodyTextChar"/>
        </w:rPr>
        <w:t>§ 38.075</w:t>
      </w:r>
      <w:r w:rsidR="00CB0A70">
        <w:rPr>
          <w:rStyle w:val="BodyTextChar"/>
        </w:rPr>
        <w:t>(e)</w:t>
      </w:r>
      <w:r w:rsidRPr="00EA3591" w:rsidR="00F30BE8">
        <w:rPr>
          <w:sz w:val="24"/>
          <w:szCs w:val="24"/>
        </w:rPr>
        <w:t xml:space="preserve"> during emergencies</w:t>
      </w:r>
      <w:r>
        <w:rPr>
          <w:sz w:val="24"/>
          <w:szCs w:val="24"/>
        </w:rPr>
        <w:t xml:space="preserve">. </w:t>
      </w:r>
      <w:r w:rsidRPr="00EA3591">
        <w:rPr>
          <w:sz w:val="24"/>
          <w:szCs w:val="24"/>
        </w:rPr>
        <w:t xml:space="preserve">The proposed new </w:t>
      </w:r>
      <w:r>
        <w:rPr>
          <w:sz w:val="24"/>
          <w:szCs w:val="24"/>
        </w:rPr>
        <w:t xml:space="preserve">pilot </w:t>
      </w:r>
      <w:r w:rsidRPr="00EA3591">
        <w:rPr>
          <w:sz w:val="24"/>
          <w:szCs w:val="24"/>
        </w:rPr>
        <w:t>Program:  i) is consistent with other energy efficiency programs, ii) reduces customer and market confusion of multiple program offerings inside and outside the energy efficiency portfolio, iii) eliminates ongoing time and resource accounting between energy efficiency cost recovery factor (“EECRF”) and a regulatory asset, iv) provides a consistent framework for Commission oversight, v) provides an opportunity to expand summer and winter load management programs into a 24/7 year round program(s), vi) increase</w:t>
      </w:r>
      <w:r w:rsidR="00D22A57">
        <w:rPr>
          <w:sz w:val="24"/>
          <w:szCs w:val="24"/>
        </w:rPr>
        <w:t>s</w:t>
      </w:r>
      <w:r w:rsidRPr="00EA3591">
        <w:rPr>
          <w:sz w:val="24"/>
          <w:szCs w:val="24"/>
        </w:rPr>
        <w:t xml:space="preserve"> load management resources during ERCOT emergencies, and vii) provides opportunity to expand geographic load management to </w:t>
      </w:r>
      <w:r w:rsidRPr="00EA3591">
        <w:rPr>
          <w:sz w:val="24"/>
          <w:szCs w:val="24"/>
        </w:rPr>
        <w:t>support grid stability on specific feeders/substations outside ERCOT emergencies</w:t>
      </w:r>
      <w:r w:rsidR="00435054">
        <w:rPr>
          <w:sz w:val="24"/>
          <w:szCs w:val="24"/>
        </w:rPr>
        <w:t>.</w:t>
      </w:r>
    </w:p>
    <w:p w:rsidR="00F30BE8" w:rsidRPr="00EA3591" w:rsidP="006F78DA" w14:paraId="5AF418FC" w14:textId="4446EACB">
      <w:pPr>
        <w:spacing w:line="360" w:lineRule="auto"/>
        <w:ind w:firstLine="720"/>
        <w:jc w:val="both"/>
        <w:rPr>
          <w:color w:val="auto"/>
          <w:sz w:val="24"/>
          <w:szCs w:val="24"/>
          <w:shd w:val="clear" w:color="auto" w:fill="auto"/>
        </w:rPr>
      </w:pPr>
      <w:r>
        <w:rPr>
          <w:sz w:val="24"/>
          <w:szCs w:val="24"/>
        </w:rPr>
        <w:t>The Program will</w:t>
      </w:r>
      <w:r w:rsidRPr="00EA3591">
        <w:rPr>
          <w:sz w:val="24"/>
          <w:szCs w:val="24"/>
        </w:rPr>
        <w:t xml:space="preserve"> leverage</w:t>
      </w:r>
      <w:r w:rsidRPr="00EA3591" w:rsidR="003F15FB">
        <w:rPr>
          <w:sz w:val="24"/>
          <w:szCs w:val="24"/>
        </w:rPr>
        <w:t xml:space="preserve"> Oncor’s</w:t>
      </w:r>
      <w:r w:rsidRPr="00EA3591">
        <w:rPr>
          <w:sz w:val="24"/>
          <w:szCs w:val="24"/>
        </w:rPr>
        <w:t xml:space="preserve"> existing Commercial Load Management Program (</w:t>
      </w:r>
      <w:r w:rsidR="00343834">
        <w:rPr>
          <w:sz w:val="24"/>
          <w:szCs w:val="24"/>
        </w:rPr>
        <w:t>“</w:t>
      </w:r>
      <w:r w:rsidRPr="00EA3591">
        <w:rPr>
          <w:sz w:val="24"/>
          <w:szCs w:val="24"/>
        </w:rPr>
        <w:t>CLM</w:t>
      </w:r>
      <w:r w:rsidR="00343834">
        <w:rPr>
          <w:sz w:val="24"/>
          <w:szCs w:val="24"/>
        </w:rPr>
        <w:t>”</w:t>
      </w:r>
      <w:r w:rsidRPr="00EA3591">
        <w:rPr>
          <w:sz w:val="24"/>
          <w:szCs w:val="24"/>
        </w:rPr>
        <w:t xml:space="preserve">) template, </w:t>
      </w:r>
      <w:r w:rsidR="00DA256C">
        <w:rPr>
          <w:sz w:val="24"/>
          <w:szCs w:val="24"/>
        </w:rPr>
        <w:t>tailored for the winter peak, as follows</w:t>
      </w:r>
      <w:r w:rsidRPr="00EA3591">
        <w:rPr>
          <w:sz w:val="24"/>
          <w:szCs w:val="24"/>
        </w:rPr>
        <w:t>:</w:t>
      </w:r>
    </w:p>
    <w:p w:rsidR="001B3DDF" w:rsidRPr="00EA3591" w:rsidP="00F30BE8" w14:paraId="616F51B6" w14:textId="5A2A7772">
      <w:pPr>
        <w:numPr>
          <w:ilvl w:val="0"/>
          <w:numId w:val="6"/>
        </w:numPr>
        <w:spacing w:line="360" w:lineRule="auto"/>
        <w:jc w:val="both"/>
        <w:rPr>
          <w:color w:val="auto"/>
          <w:sz w:val="24"/>
          <w:szCs w:val="24"/>
          <w:shd w:val="clear" w:color="auto" w:fill="auto"/>
        </w:rPr>
      </w:pPr>
      <w:r w:rsidRPr="00EA3591">
        <w:rPr>
          <w:sz w:val="24"/>
          <w:szCs w:val="24"/>
        </w:rPr>
        <w:t>c</w:t>
      </w:r>
      <w:r w:rsidRPr="00EA3591" w:rsidR="00DB0CE3">
        <w:rPr>
          <w:sz w:val="24"/>
          <w:szCs w:val="24"/>
        </w:rPr>
        <w:t xml:space="preserve">ommercial customers </w:t>
      </w:r>
      <w:r w:rsidRPr="00EA3591">
        <w:rPr>
          <w:sz w:val="24"/>
          <w:szCs w:val="24"/>
        </w:rPr>
        <w:t>will be</w:t>
      </w:r>
      <w:r w:rsidRPr="00EA3591" w:rsidR="00DB0CE3">
        <w:rPr>
          <w:sz w:val="24"/>
          <w:szCs w:val="24"/>
        </w:rPr>
        <w:t xml:space="preserve"> enrolled in the program and will complete a test event during December 2021</w:t>
      </w:r>
      <w:r w:rsidRPr="00EA3591">
        <w:rPr>
          <w:sz w:val="24"/>
          <w:szCs w:val="24"/>
        </w:rPr>
        <w:t>;</w:t>
      </w:r>
    </w:p>
    <w:p w:rsidR="001B3DDF" w:rsidRPr="00EA3591" w:rsidP="00F30BE8" w14:paraId="069EAEFA" w14:textId="280FDBCF">
      <w:pPr>
        <w:numPr>
          <w:ilvl w:val="0"/>
          <w:numId w:val="6"/>
        </w:numPr>
        <w:spacing w:line="360" w:lineRule="auto"/>
        <w:jc w:val="both"/>
        <w:rPr>
          <w:color w:val="auto"/>
          <w:sz w:val="24"/>
          <w:szCs w:val="24"/>
          <w:shd w:val="clear" w:color="auto" w:fill="auto"/>
        </w:rPr>
      </w:pPr>
      <w:r w:rsidRPr="00EA3591">
        <w:rPr>
          <w:sz w:val="24"/>
          <w:szCs w:val="24"/>
        </w:rPr>
        <w:t>t</w:t>
      </w:r>
      <w:r w:rsidRPr="00EA3591" w:rsidR="00DB0CE3">
        <w:rPr>
          <w:sz w:val="24"/>
          <w:szCs w:val="24"/>
        </w:rPr>
        <w:t>he Program will operate 24 hours a day, 7 days a week from December 2021 until the end of February 2022</w:t>
      </w:r>
      <w:r w:rsidR="00D55687">
        <w:rPr>
          <w:sz w:val="24"/>
          <w:szCs w:val="24"/>
        </w:rPr>
        <w:t>;</w:t>
      </w:r>
    </w:p>
    <w:p w:rsidR="000F1304" w:rsidP="00F30BE8" w14:paraId="36378F63" w14:textId="30C79BC3">
      <w:pPr>
        <w:numPr>
          <w:ilvl w:val="0"/>
          <w:numId w:val="6"/>
        </w:numPr>
        <w:spacing w:line="360" w:lineRule="auto"/>
        <w:jc w:val="both"/>
        <w:rPr>
          <w:color w:val="auto"/>
          <w:sz w:val="24"/>
          <w:szCs w:val="24"/>
          <w:shd w:val="clear" w:color="auto" w:fill="auto"/>
        </w:rPr>
      </w:pPr>
      <w:r w:rsidRPr="00EA3591">
        <w:rPr>
          <w:sz w:val="24"/>
          <w:szCs w:val="24"/>
        </w:rPr>
        <w:t>P</w:t>
      </w:r>
      <w:r w:rsidRPr="00EA3591" w:rsidR="00DB0CE3">
        <w:rPr>
          <w:sz w:val="24"/>
          <w:szCs w:val="24"/>
        </w:rPr>
        <w:t xml:space="preserve">rogram incentives will </w:t>
      </w:r>
      <w:r w:rsidR="00242144">
        <w:rPr>
          <w:sz w:val="24"/>
          <w:szCs w:val="24"/>
        </w:rPr>
        <w:t>be market based</w:t>
      </w:r>
      <w:r>
        <w:rPr>
          <w:sz w:val="24"/>
          <w:szCs w:val="24"/>
        </w:rPr>
        <w:t>; and</w:t>
      </w:r>
    </w:p>
    <w:p w:rsidR="001B3DDF" w:rsidRPr="00EA3591" w:rsidP="00F30BE8" w14:paraId="10AB69F7" w14:textId="03705325">
      <w:pPr>
        <w:numPr>
          <w:ilvl w:val="0"/>
          <w:numId w:val="6"/>
        </w:numPr>
        <w:spacing w:line="360" w:lineRule="auto"/>
        <w:jc w:val="both"/>
        <w:rPr>
          <w:color w:val="auto"/>
          <w:sz w:val="24"/>
          <w:szCs w:val="24"/>
          <w:shd w:val="clear" w:color="auto" w:fill="auto"/>
        </w:rPr>
      </w:pPr>
      <w:r>
        <w:rPr>
          <w:sz w:val="24"/>
          <w:szCs w:val="24"/>
        </w:rPr>
        <w:t>participants must curtail load equivalent to at least 90% of their contracted obligation to be eligible for payment</w:t>
      </w:r>
      <w:r w:rsidR="00D55687">
        <w:rPr>
          <w:sz w:val="24"/>
          <w:szCs w:val="24"/>
        </w:rPr>
        <w:t>.</w:t>
      </w:r>
    </w:p>
    <w:p w:rsidR="00F30BE8" w:rsidRPr="00EA3591" w:rsidP="006F78DA" w14:paraId="1F7D0D4B" w14:textId="0CD623FC">
      <w:pPr>
        <w:spacing w:line="360" w:lineRule="auto"/>
        <w:ind w:firstLine="720"/>
        <w:jc w:val="both"/>
        <w:rPr>
          <w:color w:val="auto"/>
          <w:sz w:val="24"/>
          <w:szCs w:val="24"/>
          <w:shd w:val="clear" w:color="auto" w:fill="auto"/>
        </w:rPr>
      </w:pPr>
      <w:r w:rsidRPr="00EA3591">
        <w:rPr>
          <w:sz w:val="24"/>
          <w:szCs w:val="24"/>
        </w:rPr>
        <w:t xml:space="preserve">The purpose of the above-referenced </w:t>
      </w:r>
      <w:r w:rsidR="00343834">
        <w:rPr>
          <w:sz w:val="24"/>
          <w:szCs w:val="24"/>
        </w:rPr>
        <w:t>pilot P</w:t>
      </w:r>
      <w:r w:rsidRPr="00EA3591">
        <w:rPr>
          <w:sz w:val="24"/>
          <w:szCs w:val="24"/>
        </w:rPr>
        <w:t>rogram is to provide cost-effective load curtailment during ERCOT emergencies from December 2021 through February</w:t>
      </w:r>
      <w:r w:rsidRPr="00EA3591">
        <w:rPr>
          <w:sz w:val="24"/>
          <w:szCs w:val="24"/>
        </w:rPr>
        <w:br/>
        <w:t xml:space="preserve">2022 (winter season), and to test the Program design in preparation </w:t>
      </w:r>
      <w:r w:rsidRPr="00EA3591" w:rsidR="00BF6B5D">
        <w:rPr>
          <w:sz w:val="24"/>
          <w:szCs w:val="24"/>
        </w:rPr>
        <w:t xml:space="preserve">of </w:t>
      </w:r>
      <w:r w:rsidRPr="00EA3591">
        <w:rPr>
          <w:sz w:val="24"/>
          <w:szCs w:val="24"/>
        </w:rPr>
        <w:t>a Standard</w:t>
      </w:r>
      <w:r w:rsidRPr="00EA3591" w:rsidR="00B77644">
        <w:rPr>
          <w:sz w:val="24"/>
          <w:szCs w:val="24"/>
        </w:rPr>
        <w:t xml:space="preserve"> Offer Program</w:t>
      </w:r>
      <w:r w:rsidRPr="00EA3591" w:rsidR="00BF6B5D">
        <w:rPr>
          <w:sz w:val="24"/>
          <w:szCs w:val="24"/>
        </w:rPr>
        <w:t xml:space="preserve"> to be </w:t>
      </w:r>
      <w:r w:rsidRPr="00EA3591" w:rsidR="00B77644">
        <w:rPr>
          <w:sz w:val="24"/>
          <w:szCs w:val="24"/>
        </w:rPr>
        <w:t>launch</w:t>
      </w:r>
      <w:r w:rsidRPr="00EA3591" w:rsidR="00BF6B5D">
        <w:rPr>
          <w:sz w:val="24"/>
          <w:szCs w:val="24"/>
        </w:rPr>
        <w:t>ed</w:t>
      </w:r>
      <w:r w:rsidRPr="00EA3591" w:rsidR="00B77644">
        <w:rPr>
          <w:sz w:val="24"/>
          <w:szCs w:val="24"/>
        </w:rPr>
        <w:t xml:space="preserve"> in December 2022.  </w:t>
      </w:r>
      <w:r w:rsidRPr="00EA3591">
        <w:rPr>
          <w:sz w:val="24"/>
          <w:szCs w:val="24"/>
        </w:rPr>
        <w:t>Specifically the Program will:</w:t>
      </w:r>
    </w:p>
    <w:p w:rsidR="001B3DDF" w:rsidRPr="00EA3591" w:rsidP="00F30BE8" w14:paraId="1B73C3A6" w14:textId="3B4A7450">
      <w:pPr>
        <w:numPr>
          <w:ilvl w:val="0"/>
          <w:numId w:val="7"/>
        </w:numPr>
        <w:spacing w:line="360" w:lineRule="auto"/>
        <w:jc w:val="both"/>
        <w:rPr>
          <w:color w:val="auto"/>
          <w:sz w:val="24"/>
          <w:szCs w:val="24"/>
          <w:shd w:val="clear" w:color="auto" w:fill="auto"/>
        </w:rPr>
      </w:pPr>
      <w:r w:rsidRPr="00EA3591">
        <w:rPr>
          <w:sz w:val="24"/>
          <w:szCs w:val="24"/>
        </w:rPr>
        <w:t>d</w:t>
      </w:r>
      <w:r w:rsidRPr="00EA3591" w:rsidR="00DB0CE3">
        <w:rPr>
          <w:sz w:val="24"/>
          <w:szCs w:val="24"/>
        </w:rPr>
        <w:t>emonstrate Program load reduction capabilities during the winter season</w:t>
      </w:r>
      <w:r w:rsidRPr="00EA3591">
        <w:rPr>
          <w:sz w:val="24"/>
          <w:szCs w:val="24"/>
        </w:rPr>
        <w:t>;</w:t>
      </w:r>
    </w:p>
    <w:p w:rsidR="001B3DDF" w:rsidRPr="00EA3591" w:rsidP="00F30BE8" w14:paraId="43258322" w14:textId="76F599B8">
      <w:pPr>
        <w:numPr>
          <w:ilvl w:val="0"/>
          <w:numId w:val="7"/>
        </w:numPr>
        <w:spacing w:line="360" w:lineRule="auto"/>
        <w:jc w:val="both"/>
        <w:rPr>
          <w:color w:val="auto"/>
          <w:sz w:val="24"/>
          <w:szCs w:val="24"/>
          <w:shd w:val="clear" w:color="auto" w:fill="auto"/>
        </w:rPr>
      </w:pPr>
      <w:r w:rsidRPr="00EA3591">
        <w:rPr>
          <w:sz w:val="24"/>
          <w:szCs w:val="24"/>
        </w:rPr>
        <w:t>t</w:t>
      </w:r>
      <w:r w:rsidRPr="00EA3591" w:rsidR="00DB0CE3">
        <w:rPr>
          <w:sz w:val="24"/>
          <w:szCs w:val="24"/>
        </w:rPr>
        <w:t xml:space="preserve">est the Program design, outreach and participant recruitment, program </w:t>
      </w:r>
      <w:r w:rsidRPr="00EA3591" w:rsidR="00DB0CE3">
        <w:rPr>
          <w:sz w:val="24"/>
          <w:szCs w:val="24"/>
        </w:rPr>
        <w:t>rules,</w:t>
      </w:r>
      <w:r w:rsidRPr="00EA3591" w:rsidR="00B77644">
        <w:rPr>
          <w:sz w:val="24"/>
          <w:szCs w:val="24"/>
        </w:rPr>
        <w:t xml:space="preserve"> data </w:t>
      </w:r>
      <w:r w:rsidRPr="00EA3591">
        <w:rPr>
          <w:sz w:val="24"/>
          <w:szCs w:val="24"/>
        </w:rPr>
        <w:t xml:space="preserve">collection methodologies, </w:t>
      </w:r>
      <w:r w:rsidRPr="00EA3591" w:rsidR="00DB0CE3">
        <w:rPr>
          <w:sz w:val="24"/>
          <w:szCs w:val="24"/>
        </w:rPr>
        <w:t>and effectiveness of Technical Reference Manual (</w:t>
      </w:r>
      <w:r w:rsidR="00A27B4C">
        <w:rPr>
          <w:sz w:val="24"/>
          <w:szCs w:val="24"/>
        </w:rPr>
        <w:t>“</w:t>
      </w:r>
      <w:r w:rsidRPr="00EA3591" w:rsidR="00DB0CE3">
        <w:rPr>
          <w:sz w:val="24"/>
          <w:szCs w:val="24"/>
        </w:rPr>
        <w:t>TRM</w:t>
      </w:r>
      <w:r w:rsidR="00A27B4C">
        <w:rPr>
          <w:sz w:val="24"/>
          <w:szCs w:val="24"/>
        </w:rPr>
        <w:t>”</w:t>
      </w:r>
      <w:r w:rsidRPr="00EA3591" w:rsidR="00DB0CE3">
        <w:rPr>
          <w:sz w:val="24"/>
          <w:szCs w:val="24"/>
        </w:rPr>
        <w:t>) calculations during the winter season</w:t>
      </w:r>
      <w:r w:rsidRPr="00EA3591">
        <w:rPr>
          <w:sz w:val="24"/>
          <w:szCs w:val="24"/>
        </w:rPr>
        <w:t>;</w:t>
      </w:r>
    </w:p>
    <w:p w:rsidR="001B3DDF" w:rsidRPr="00EA3591" w:rsidP="00F30BE8" w14:paraId="1124824D" w14:textId="325CECE4">
      <w:pPr>
        <w:numPr>
          <w:ilvl w:val="0"/>
          <w:numId w:val="7"/>
        </w:numPr>
        <w:spacing w:line="360" w:lineRule="auto"/>
        <w:jc w:val="both"/>
        <w:rPr>
          <w:color w:val="auto"/>
          <w:sz w:val="24"/>
          <w:szCs w:val="24"/>
          <w:shd w:val="clear" w:color="auto" w:fill="auto"/>
        </w:rPr>
      </w:pPr>
      <w:r w:rsidRPr="00EA3591">
        <w:rPr>
          <w:sz w:val="24"/>
          <w:szCs w:val="24"/>
        </w:rPr>
        <w:t>i</w:t>
      </w:r>
      <w:r w:rsidRPr="00EA3591" w:rsidR="00DB0CE3">
        <w:rPr>
          <w:sz w:val="24"/>
          <w:szCs w:val="24"/>
        </w:rPr>
        <w:t>dentify any issues with participant compliance and sustainability throughout the winter season</w:t>
      </w:r>
      <w:r w:rsidRPr="00EA3591">
        <w:rPr>
          <w:sz w:val="24"/>
          <w:szCs w:val="24"/>
        </w:rPr>
        <w:t>;</w:t>
      </w:r>
    </w:p>
    <w:p w:rsidR="001B3DDF" w:rsidRPr="00EA3591" w:rsidP="00F30BE8" w14:paraId="40A77A5F" w14:textId="31F8B9C6">
      <w:pPr>
        <w:numPr>
          <w:ilvl w:val="0"/>
          <w:numId w:val="7"/>
        </w:numPr>
        <w:spacing w:line="360" w:lineRule="auto"/>
        <w:jc w:val="both"/>
        <w:rPr>
          <w:color w:val="auto"/>
          <w:sz w:val="24"/>
          <w:szCs w:val="24"/>
          <w:shd w:val="clear" w:color="auto" w:fill="auto"/>
        </w:rPr>
      </w:pPr>
      <w:r w:rsidRPr="00EA3591">
        <w:rPr>
          <w:sz w:val="24"/>
          <w:szCs w:val="24"/>
        </w:rPr>
        <w:t>i</w:t>
      </w:r>
      <w:r w:rsidRPr="00EA3591" w:rsidR="00DB0CE3">
        <w:rPr>
          <w:sz w:val="24"/>
          <w:szCs w:val="24"/>
        </w:rPr>
        <w:t>dentify the commercial measures that provide significant load reduction during winter months</w:t>
      </w:r>
      <w:r w:rsidRPr="00EA3591">
        <w:rPr>
          <w:sz w:val="24"/>
          <w:szCs w:val="24"/>
        </w:rPr>
        <w:t>; and</w:t>
      </w:r>
    </w:p>
    <w:p w:rsidR="001B3DDF" w:rsidRPr="00EA3591" w:rsidP="00F30BE8" w14:paraId="740E6367" w14:textId="2DFBBDB1">
      <w:pPr>
        <w:numPr>
          <w:ilvl w:val="0"/>
          <w:numId w:val="7"/>
        </w:numPr>
        <w:spacing w:line="360" w:lineRule="auto"/>
        <w:jc w:val="both"/>
        <w:rPr>
          <w:color w:val="auto"/>
          <w:sz w:val="24"/>
          <w:szCs w:val="24"/>
          <w:shd w:val="clear" w:color="auto" w:fill="auto"/>
        </w:rPr>
      </w:pPr>
      <w:r w:rsidRPr="00EA3591">
        <w:rPr>
          <w:sz w:val="24"/>
          <w:szCs w:val="24"/>
        </w:rPr>
        <w:t>p</w:t>
      </w:r>
      <w:r w:rsidRPr="00EA3591" w:rsidR="00DB0CE3">
        <w:rPr>
          <w:sz w:val="24"/>
          <w:szCs w:val="24"/>
        </w:rPr>
        <w:t>rovide a basis for Program claimed savings, net benefits, and cost recovery</w:t>
      </w:r>
      <w:r w:rsidRPr="00EA3591">
        <w:rPr>
          <w:sz w:val="24"/>
          <w:szCs w:val="24"/>
        </w:rPr>
        <w:t>.</w:t>
      </w:r>
    </w:p>
    <w:p w:rsidR="00C341A5" w:rsidP="006F78DA" w14:paraId="53D63043" w14:textId="0DEC267A">
      <w:pPr>
        <w:spacing w:line="360" w:lineRule="auto"/>
        <w:jc w:val="both"/>
        <w:rPr>
          <w:rStyle w:val="BodyTextChar"/>
          <w:color w:val="auto"/>
          <w:shd w:val="clear" w:color="auto" w:fill="auto"/>
        </w:rPr>
      </w:pPr>
      <w:r>
        <w:rPr>
          <w:sz w:val="24"/>
          <w:szCs w:val="24"/>
        </w:rPr>
        <w:t>The Program logic</w:t>
      </w:r>
      <w:r w:rsidR="00484BBE">
        <w:rPr>
          <w:sz w:val="24"/>
          <w:szCs w:val="24"/>
        </w:rPr>
        <w:t xml:space="preserve"> and design</w:t>
      </w:r>
      <w:r>
        <w:rPr>
          <w:sz w:val="24"/>
          <w:szCs w:val="24"/>
        </w:rPr>
        <w:t xml:space="preserve"> </w:t>
      </w:r>
      <w:r w:rsidR="00D55687">
        <w:rPr>
          <w:sz w:val="24"/>
          <w:szCs w:val="24"/>
        </w:rPr>
        <w:t>are</w:t>
      </w:r>
      <w:r>
        <w:rPr>
          <w:sz w:val="24"/>
          <w:szCs w:val="24"/>
        </w:rPr>
        <w:t xml:space="preserve"> outlined in the attached Program Template. Oncor is actively seeking feedback </w:t>
      </w:r>
      <w:r w:rsidR="00D55687">
        <w:rPr>
          <w:sz w:val="24"/>
          <w:szCs w:val="24"/>
        </w:rPr>
        <w:t xml:space="preserve">from stakeholders </w:t>
      </w:r>
      <w:r>
        <w:rPr>
          <w:sz w:val="24"/>
          <w:szCs w:val="24"/>
        </w:rPr>
        <w:t>on the Program design.</w:t>
      </w:r>
    </w:p>
    <w:p w:rsidR="00C341A5" w:rsidP="00F30BE8" w14:paraId="1C653F8F" w14:textId="77777777">
      <w:pPr>
        <w:spacing w:line="360" w:lineRule="auto"/>
        <w:ind w:left="360"/>
        <w:jc w:val="both"/>
        <w:rPr>
          <w:rStyle w:val="BodyTextChar"/>
          <w:color w:val="auto"/>
          <w:shd w:val="clear" w:color="auto" w:fill="auto"/>
        </w:rPr>
      </w:pPr>
    </w:p>
    <w:p w:rsidR="00866568" w:rsidRPr="00EA3591" w:rsidP="00435054" w14:paraId="21B98F8D" w14:textId="492AC3D0">
      <w:pPr>
        <w:spacing w:line="360" w:lineRule="auto"/>
        <w:ind w:firstLine="720"/>
        <w:jc w:val="both"/>
        <w:rPr>
          <w:rStyle w:val="BodyTextChar"/>
          <w:color w:val="auto"/>
          <w:shd w:val="clear" w:color="auto" w:fill="auto"/>
        </w:rPr>
      </w:pPr>
      <w:r>
        <w:rPr>
          <w:rStyle w:val="BodyTextChar"/>
        </w:rPr>
        <w:t xml:space="preserve">As Oncor refines the Program design, the operating hours, number of events, and event duration may change prior to implementation.  </w:t>
      </w:r>
      <w:r w:rsidRPr="00EA3591" w:rsidR="006017B3">
        <w:rPr>
          <w:rStyle w:val="BodyTextChar"/>
        </w:rPr>
        <w:t xml:space="preserve">It should </w:t>
      </w:r>
      <w:r w:rsidR="009236BF">
        <w:rPr>
          <w:rStyle w:val="BodyTextChar"/>
        </w:rPr>
        <w:t xml:space="preserve">also </w:t>
      </w:r>
      <w:r w:rsidRPr="00EA3591" w:rsidR="006017B3">
        <w:rPr>
          <w:rStyle w:val="BodyTextChar"/>
        </w:rPr>
        <w:t>be noted</w:t>
      </w:r>
      <w:r w:rsidRPr="00EA3591" w:rsidR="00607652">
        <w:rPr>
          <w:rStyle w:val="BodyTextChar"/>
        </w:rPr>
        <w:t xml:space="preserve"> that Oncor will manage the new </w:t>
      </w:r>
      <w:r w:rsidRPr="00EA3591" w:rsidR="00BF6B5D">
        <w:rPr>
          <w:rStyle w:val="BodyTextChar"/>
        </w:rPr>
        <w:t>proposed P</w:t>
      </w:r>
      <w:r w:rsidRPr="00EA3591" w:rsidR="00607652">
        <w:rPr>
          <w:rStyle w:val="BodyTextChar"/>
        </w:rPr>
        <w:t>rogram under the budget</w:t>
      </w:r>
      <w:r w:rsidRPr="00EA3591" w:rsidR="00BF6B5D">
        <w:rPr>
          <w:rStyle w:val="BodyTextChar"/>
        </w:rPr>
        <w:t>, if</w:t>
      </w:r>
      <w:r w:rsidRPr="00EA3591" w:rsidR="00607652">
        <w:rPr>
          <w:rStyle w:val="BodyTextChar"/>
        </w:rPr>
        <w:t xml:space="preserve"> approved </w:t>
      </w:r>
      <w:r w:rsidRPr="00EA3591" w:rsidR="00BF6B5D">
        <w:rPr>
          <w:rStyle w:val="BodyTextChar"/>
        </w:rPr>
        <w:t>by the Commission,</w:t>
      </w:r>
      <w:r w:rsidR="00DA256C">
        <w:rPr>
          <w:rStyle w:val="BodyTextChar"/>
        </w:rPr>
        <w:t xml:space="preserve"> </w:t>
      </w:r>
      <w:r w:rsidRPr="00EA3591" w:rsidR="00607652">
        <w:rPr>
          <w:rStyle w:val="BodyTextChar"/>
        </w:rPr>
        <w:t>that the parties agreed to in Docket No. 52178</w:t>
      </w:r>
      <w:r w:rsidR="00A454C7">
        <w:rPr>
          <w:rStyle w:val="BodyTextChar"/>
        </w:rPr>
        <w:t>.</w:t>
      </w:r>
      <w:r>
        <w:rPr>
          <w:rStyle w:val="FootnoteReference"/>
        </w:rPr>
        <w:footnoteReference w:id="3"/>
      </w:r>
      <w:r w:rsidRPr="00EA3591" w:rsidR="00607652">
        <w:rPr>
          <w:rStyle w:val="BodyTextChar"/>
        </w:rPr>
        <w:t xml:space="preserve">   </w:t>
      </w:r>
      <w:r w:rsidR="007F39FB">
        <w:rPr>
          <w:rStyle w:val="BodyTextChar"/>
        </w:rPr>
        <w:t>If the Commission believes that an alternative cost recovery mechanism is more appropriate,</w:t>
      </w:r>
      <w:r>
        <w:rPr>
          <w:rStyle w:val="FootnoteReference"/>
        </w:rPr>
        <w:footnoteReference w:id="4"/>
      </w:r>
      <w:r w:rsidR="007F39FB">
        <w:rPr>
          <w:rStyle w:val="BodyTextChar"/>
        </w:rPr>
        <w:t xml:space="preserve"> Oncor will support and comply with the Commission’s preference.  </w:t>
      </w:r>
      <w:r w:rsidRPr="00EA3591" w:rsidR="00BF6B5D">
        <w:rPr>
          <w:rStyle w:val="BodyTextChar"/>
        </w:rPr>
        <w:t>Oncor appreciates the opportunity to provide th</w:t>
      </w:r>
      <w:r w:rsidR="00D55687">
        <w:rPr>
          <w:rStyle w:val="BodyTextChar"/>
        </w:rPr>
        <w:t>e</w:t>
      </w:r>
      <w:r w:rsidRPr="00EA3591" w:rsidR="00BF6B5D">
        <w:rPr>
          <w:rStyle w:val="BodyTextChar"/>
        </w:rPr>
        <w:t>s</w:t>
      </w:r>
      <w:r w:rsidR="00D55687">
        <w:rPr>
          <w:rStyle w:val="BodyTextChar"/>
        </w:rPr>
        <w:t>e comments</w:t>
      </w:r>
      <w:r w:rsidRPr="00EA3591" w:rsidR="00BF6B5D">
        <w:rPr>
          <w:rStyle w:val="BodyTextChar"/>
        </w:rPr>
        <w:t>.</w:t>
      </w:r>
    </w:p>
    <w:p w:rsidR="00103001" w:rsidRPr="00EA3591" w:rsidP="00EF3ADB" w14:paraId="207BC4EC" w14:textId="77777777">
      <w:pPr>
        <w:pStyle w:val="BodyText"/>
        <w:spacing w:before="92"/>
        <w:ind w:left="2216" w:hanging="2216"/>
        <w:rPr>
          <w:color w:val="auto"/>
          <w:w w:val="105"/>
          <w:shd w:val="clear" w:color="auto" w:fill="auto"/>
        </w:rPr>
      </w:pPr>
    </w:p>
    <w:p w:rsidR="004D77EE" w:rsidRPr="00EA3591" w:rsidP="004D77EE" w14:paraId="04EE1467" w14:textId="77777777">
      <w:pPr>
        <w:pStyle w:val="BodyText1stIndent1-12"/>
        <w:spacing w:line="240" w:lineRule="auto"/>
        <w:ind w:firstLine="4680"/>
        <w:rPr>
          <w:color w:val="auto"/>
          <w:shd w:val="clear" w:color="auto" w:fill="auto"/>
        </w:rPr>
      </w:pPr>
      <w:r w:rsidRPr="00EA3591">
        <w:t>Respectfully submitted,</w:t>
      </w:r>
    </w:p>
    <w:p w:rsidR="004D77EE" w:rsidRPr="00EA3591" w:rsidP="004D77EE" w14:paraId="3C916D30" w14:textId="77777777">
      <w:pPr>
        <w:tabs>
          <w:tab w:val="left" w:pos="2520"/>
        </w:tabs>
        <w:ind w:left="4680"/>
        <w:rPr>
          <w:color w:val="auto"/>
          <w:sz w:val="24"/>
          <w:szCs w:val="24"/>
          <w:shd w:val="clear" w:color="auto" w:fill="auto"/>
        </w:rPr>
      </w:pPr>
      <w:bookmarkStart w:id="0" w:name="_GoBack"/>
    </w:p>
    <w:p w:rsidR="004D77EE" w:rsidRPr="00EA3591" w:rsidP="004D77EE" w14:paraId="3216A600" w14:textId="77777777">
      <w:pPr>
        <w:tabs>
          <w:tab w:val="left" w:pos="2520"/>
        </w:tabs>
        <w:ind w:left="4680"/>
        <w:rPr>
          <w:b/>
          <w:bCs/>
          <w:color w:val="auto"/>
          <w:sz w:val="24"/>
          <w:szCs w:val="24"/>
          <w:shd w:val="clear" w:color="auto" w:fill="auto"/>
        </w:rPr>
      </w:pPr>
      <w:r w:rsidRPr="00EA3591">
        <w:rPr>
          <w:b/>
          <w:bCs/>
          <w:sz w:val="24"/>
          <w:szCs w:val="24"/>
        </w:rPr>
        <w:t>Oncor Electric Delivery Company LLC</w:t>
      </w:r>
    </w:p>
    <w:p w:rsidR="004D77EE" w:rsidRPr="00EA3591" w:rsidP="004D77EE" w14:paraId="29EB267E" w14:textId="1A2BF488">
      <w:pPr>
        <w:tabs>
          <w:tab w:val="left" w:pos="2520"/>
        </w:tabs>
        <w:ind w:left="4680"/>
        <w:rPr>
          <w:color w:val="auto"/>
          <w:sz w:val="24"/>
          <w:szCs w:val="24"/>
          <w:shd w:val="clear" w:color="auto" w:fill="auto"/>
        </w:rPr>
      </w:pPr>
      <w:bookmarkEnd w:id="0"/>
    </w:p>
    <w:p w:rsidR="004D77EE" w:rsidRPr="00EA3591" w:rsidP="004D77EE" w14:paraId="3D30771B" w14:textId="74BC77D7">
      <w:pPr>
        <w:tabs>
          <w:tab w:val="left" w:pos="2520"/>
        </w:tabs>
        <w:ind w:left="4680"/>
        <w:rPr>
          <w:color w:val="auto"/>
          <w:sz w:val="24"/>
          <w:szCs w:val="24"/>
          <w:shd w:val="clear" w:color="auto" w:fill="auto"/>
        </w:rPr>
      </w:pPr>
    </w:p>
    <w:p w:rsidR="004D77EE" w:rsidRPr="00DE554A" w:rsidP="004D77EE" w14:paraId="07561DA7" w14:textId="7F1F4879">
      <w:pPr>
        <w:tabs>
          <w:tab w:val="left" w:pos="2520"/>
        </w:tabs>
        <w:ind w:left="4680"/>
        <w:rPr>
          <w:i/>
          <w:color w:val="auto"/>
          <w:sz w:val="24"/>
          <w:szCs w:val="24"/>
          <w:u w:val="single"/>
          <w:shd w:val="clear" w:color="auto" w:fill="auto"/>
        </w:rPr>
      </w:pPr>
      <w:r>
        <w:rPr>
          <w:sz w:val="24"/>
          <w:szCs w:val="24"/>
        </w:rPr>
        <w:t xml:space="preserve">By:  </w:t>
      </w:r>
      <w:r>
        <w:rPr>
          <w:sz w:val="24"/>
          <w:szCs w:val="24"/>
          <w:u w:val="single"/>
        </w:rPr>
        <w:t xml:space="preserve">    </w:t>
      </w:r>
      <w:r w:rsidRPr="00DE554A">
        <w:rPr>
          <w:rFonts w:ascii="Times New Roman" w:hAnsi="Times New Roman" w:cs="Times New Roman"/>
          <w:i/>
          <w:sz w:val="24"/>
          <w:szCs w:val="24"/>
          <w:u w:val="single"/>
        </w:rPr>
        <w:t>/s/ Ritchie Sturgeon</w:t>
      </w:r>
      <w:r>
        <w:rPr>
          <w:i/>
          <w:sz w:val="24"/>
          <w:szCs w:val="24"/>
          <w:u w:val="single"/>
        </w:rPr>
        <w:t xml:space="preserve">          </w:t>
      </w:r>
      <w:r>
        <w:rPr>
          <w:i/>
          <w:sz w:val="24"/>
          <w:szCs w:val="24"/>
          <w:u w:val="single"/>
        </w:rPr>
        <w:tab/>
      </w:r>
      <w:r>
        <w:rPr>
          <w:i/>
          <w:sz w:val="24"/>
          <w:szCs w:val="24"/>
          <w:u w:val="single"/>
        </w:rPr>
        <w:tab/>
      </w:r>
    </w:p>
    <w:p w:rsidR="004D77EE" w:rsidRPr="00EA3591" w:rsidP="004D77EE" w14:paraId="0DBC5727" w14:textId="77777777">
      <w:pPr>
        <w:tabs>
          <w:tab w:val="left" w:pos="2520"/>
        </w:tabs>
        <w:ind w:left="5280"/>
        <w:rPr>
          <w:color w:val="auto"/>
          <w:sz w:val="24"/>
          <w:szCs w:val="24"/>
          <w:shd w:val="clear" w:color="auto" w:fill="auto"/>
        </w:rPr>
      </w:pPr>
      <w:r w:rsidRPr="00EA3591">
        <w:rPr>
          <w:sz w:val="24"/>
          <w:szCs w:val="24"/>
        </w:rPr>
        <w:t>Ritchie J. Sturgeon</w:t>
      </w:r>
    </w:p>
    <w:p w:rsidR="004D77EE" w:rsidRPr="00EA3591" w:rsidP="004D77EE" w14:paraId="0D683196" w14:textId="77777777">
      <w:pPr>
        <w:tabs>
          <w:tab w:val="left" w:pos="2520"/>
        </w:tabs>
        <w:ind w:left="5280"/>
        <w:rPr>
          <w:color w:val="auto"/>
          <w:sz w:val="24"/>
          <w:szCs w:val="24"/>
          <w:shd w:val="clear" w:color="auto" w:fill="auto"/>
        </w:rPr>
      </w:pPr>
      <w:r w:rsidRPr="00EA3591">
        <w:rPr>
          <w:sz w:val="24"/>
          <w:szCs w:val="24"/>
        </w:rPr>
        <w:t>State Bar No. 24068574</w:t>
      </w:r>
    </w:p>
    <w:p w:rsidR="004D77EE" w:rsidRPr="00EA3591" w:rsidP="004D77EE" w14:paraId="714306BB" w14:textId="77777777">
      <w:pPr>
        <w:tabs>
          <w:tab w:val="left" w:pos="2520"/>
        </w:tabs>
        <w:ind w:left="5280"/>
        <w:rPr>
          <w:color w:val="auto"/>
          <w:sz w:val="24"/>
          <w:szCs w:val="24"/>
          <w:shd w:val="clear" w:color="auto" w:fill="auto"/>
        </w:rPr>
      </w:pPr>
      <w:r w:rsidRPr="00EA3591">
        <w:rPr>
          <w:sz w:val="24"/>
          <w:szCs w:val="24"/>
        </w:rPr>
        <w:t>Oncor Electric Delivery Company LLC</w:t>
      </w:r>
    </w:p>
    <w:p w:rsidR="004D77EE" w:rsidRPr="00EA3591" w:rsidP="004D77EE" w14:paraId="33661976" w14:textId="77777777">
      <w:pPr>
        <w:tabs>
          <w:tab w:val="left" w:pos="2520"/>
        </w:tabs>
        <w:ind w:left="5280"/>
        <w:rPr>
          <w:color w:val="auto"/>
          <w:sz w:val="24"/>
          <w:szCs w:val="24"/>
          <w:shd w:val="clear" w:color="auto" w:fill="auto"/>
        </w:rPr>
      </w:pPr>
      <w:r w:rsidRPr="00EA3591">
        <w:rPr>
          <w:sz w:val="24"/>
          <w:szCs w:val="24"/>
        </w:rPr>
        <w:t>1616 Woodall Rodgers Freeway Dallas, Texas  75202-1234</w:t>
      </w:r>
    </w:p>
    <w:p w:rsidR="004D77EE" w:rsidRPr="00EA3591" w:rsidP="004D77EE" w14:paraId="6EEBA280" w14:textId="77777777">
      <w:pPr>
        <w:tabs>
          <w:tab w:val="left" w:pos="2520"/>
        </w:tabs>
        <w:ind w:left="5280"/>
        <w:rPr>
          <w:color w:val="auto"/>
          <w:sz w:val="24"/>
          <w:szCs w:val="24"/>
          <w:shd w:val="clear" w:color="auto" w:fill="auto"/>
        </w:rPr>
      </w:pPr>
      <w:r w:rsidRPr="00EA3591">
        <w:rPr>
          <w:sz w:val="24"/>
          <w:szCs w:val="24"/>
        </w:rPr>
        <w:t>Telephone:  (214) 486-6345</w:t>
      </w:r>
    </w:p>
    <w:p w:rsidR="004D77EE" w:rsidRPr="00EA3591" w:rsidP="004D77EE" w14:paraId="60C5F226" w14:textId="77777777">
      <w:pPr>
        <w:tabs>
          <w:tab w:val="left" w:pos="2520"/>
        </w:tabs>
        <w:ind w:left="5285"/>
        <w:rPr>
          <w:color w:val="auto"/>
          <w:sz w:val="24"/>
          <w:szCs w:val="24"/>
          <w:shd w:val="clear" w:color="auto" w:fill="auto"/>
        </w:rPr>
      </w:pPr>
      <w:r w:rsidRPr="00EA3591">
        <w:rPr>
          <w:sz w:val="24"/>
          <w:szCs w:val="24"/>
        </w:rPr>
        <w:t>Facsimile:  (214) 486-3221</w:t>
      </w:r>
    </w:p>
    <w:p w:rsidR="004D77EE" w:rsidRPr="00EA3591" w:rsidP="004D77EE" w14:paraId="24E77A24" w14:textId="77777777">
      <w:pPr>
        <w:tabs>
          <w:tab w:val="left" w:pos="2520"/>
        </w:tabs>
        <w:ind w:left="5285"/>
        <w:rPr>
          <w:color w:val="0000FF"/>
          <w:sz w:val="24"/>
          <w:szCs w:val="24"/>
          <w:shd w:val="clear" w:color="auto" w:fill="auto"/>
        </w:rPr>
      </w:pPr>
      <w:r>
        <w:fldChar w:fldCharType="begin"/>
      </w:r>
      <w:r>
        <w:instrText xml:space="preserve"> HYPERLINK "mailto:ritchie.sturgeon@oncor.com" </w:instrText>
      </w:r>
      <w:r>
        <w:fldChar w:fldCharType="separate"/>
      </w:r>
      <w:r w:rsidRPr="00EA3591" w:rsidR="006017B3">
        <w:rPr>
          <w:rStyle w:val="Hyperlink"/>
          <w:sz w:val="24"/>
          <w:szCs w:val="24"/>
        </w:rPr>
        <w:t>ritchie.sturgeon@oncor.com</w:t>
      </w:r>
      <w:r>
        <w:fldChar w:fldCharType="end"/>
      </w:r>
    </w:p>
    <w:p w:rsidR="004D77EE" w:rsidRPr="00EA3591" w:rsidP="004D77EE" w14:paraId="5F4584DA" w14:textId="77777777">
      <w:pPr>
        <w:tabs>
          <w:tab w:val="left" w:pos="2520"/>
        </w:tabs>
        <w:ind w:left="4680"/>
        <w:rPr>
          <w:b/>
          <w:bCs/>
          <w:color w:val="0000FF"/>
          <w:sz w:val="24"/>
          <w:szCs w:val="24"/>
          <w:shd w:val="clear" w:color="auto" w:fill="auto"/>
        </w:rPr>
      </w:pPr>
    </w:p>
    <w:p w:rsidR="004D77EE" w:rsidRPr="00EA3591" w:rsidP="004D77EE" w14:paraId="09068DDE" w14:textId="77777777">
      <w:pPr>
        <w:tabs>
          <w:tab w:val="left" w:pos="2520"/>
        </w:tabs>
        <w:ind w:left="4680"/>
        <w:rPr>
          <w:b/>
          <w:bCs/>
          <w:color w:val="auto"/>
          <w:sz w:val="24"/>
          <w:szCs w:val="24"/>
          <w:shd w:val="clear" w:color="auto" w:fill="auto"/>
        </w:rPr>
      </w:pPr>
      <w:r w:rsidRPr="00EA3591">
        <w:rPr>
          <w:b/>
          <w:bCs/>
          <w:sz w:val="24"/>
          <w:szCs w:val="24"/>
        </w:rPr>
        <w:t>ATTORNEY FOR ONCOR ELECTRIC DELIVERY COMPANY LLC</w:t>
      </w:r>
    </w:p>
    <w:p w:rsidR="00B2329F" w:rsidRPr="00EA3591" w:rsidP="00B2329F" w14:paraId="224E766F" w14:textId="77777777">
      <w:pPr>
        <w:spacing w:line="360" w:lineRule="auto"/>
        <w:jc w:val="center"/>
        <w:rPr>
          <w:b/>
          <w:bCs/>
          <w:color w:val="auto"/>
          <w:sz w:val="24"/>
          <w:szCs w:val="24"/>
          <w:u w:val="single"/>
          <w:shd w:val="clear" w:color="auto" w:fill="auto"/>
        </w:rPr>
      </w:pPr>
    </w:p>
    <w:p w:rsidR="00B2329F" w:rsidRPr="00EA3591" w:rsidP="00B2329F" w14:paraId="03144DA8" w14:textId="77777777">
      <w:pPr>
        <w:spacing w:line="360" w:lineRule="auto"/>
        <w:jc w:val="center"/>
        <w:rPr>
          <w:b/>
          <w:bCs/>
          <w:color w:val="auto"/>
          <w:sz w:val="24"/>
          <w:szCs w:val="24"/>
          <w:u w:val="single"/>
          <w:shd w:val="clear" w:color="auto" w:fill="auto"/>
        </w:rPr>
      </w:pPr>
      <w:r w:rsidRPr="00EA3591">
        <w:rPr>
          <w:b/>
          <w:bCs/>
          <w:sz w:val="24"/>
          <w:szCs w:val="24"/>
          <w:u w:val="single"/>
        </w:rPr>
        <w:t>CERTIFICATE OF SERVICE</w:t>
      </w:r>
    </w:p>
    <w:p w:rsidR="00B2329F" w:rsidRPr="00EA3591" w:rsidP="00B2329F" w14:paraId="3CF3E592" w14:textId="4F04EF8C">
      <w:pPr>
        <w:keepNext/>
        <w:spacing w:line="360" w:lineRule="auto"/>
        <w:ind w:firstLine="720"/>
        <w:rPr>
          <w:color w:val="auto"/>
          <w:sz w:val="24"/>
          <w:szCs w:val="24"/>
          <w:shd w:val="clear" w:color="auto" w:fill="auto"/>
        </w:rPr>
      </w:pPr>
      <w:r>
        <w:rPr>
          <w:sz w:val="24"/>
          <w:szCs w:val="24"/>
        </w:rPr>
        <w:t xml:space="preserve">There are no parties to be served in this Project.  However, notice of this filing will be provided to the appropriate stakeholders using the method determined by Commission Staff.  </w:t>
      </w:r>
    </w:p>
    <w:p w:rsidR="00B2329F" w:rsidRPr="00EA3591" w:rsidP="00B2329F" w14:paraId="3287713E" w14:textId="2ED0C540">
      <w:pPr>
        <w:tabs>
          <w:tab w:val="left" w:pos="2520"/>
        </w:tabs>
        <w:jc w:val="both"/>
        <w:rPr>
          <w:b/>
          <w:bCs/>
          <w:color w:val="auto"/>
          <w:sz w:val="24"/>
          <w:szCs w:val="24"/>
          <w:shd w:val="clear" w:color="auto" w:fill="auto"/>
        </w:rPr>
      </w:pPr>
      <w:r w:rsidRPr="00EA3591">
        <w:rPr>
          <w:b/>
          <w:bCs/>
          <w:sz w:val="24"/>
          <w:szCs w:val="24"/>
        </w:rPr>
        <w:tab/>
      </w:r>
    </w:p>
    <w:p w:rsidR="00B2329F" w:rsidRPr="00EA3591" w:rsidP="00B2329F" w14:paraId="55BC8FFA" w14:textId="6D1E798D">
      <w:pPr>
        <w:tabs>
          <w:tab w:val="left" w:pos="2520"/>
        </w:tabs>
        <w:jc w:val="both"/>
        <w:rPr>
          <w:b/>
          <w:bCs/>
          <w:color w:val="auto"/>
          <w:sz w:val="24"/>
          <w:szCs w:val="24"/>
          <w:shd w:val="clear" w:color="auto" w:fill="auto"/>
        </w:rPr>
      </w:pPr>
      <w:r w:rsidRPr="00EA3591">
        <w:rPr>
          <w:b/>
          <w:bCs/>
          <w:sz w:val="24"/>
          <w:szCs w:val="24"/>
        </w:rPr>
        <w:tab/>
      </w:r>
      <w:r w:rsidRPr="00EA3591">
        <w:rPr>
          <w:b/>
          <w:bCs/>
          <w:sz w:val="24"/>
          <w:szCs w:val="24"/>
        </w:rPr>
        <w:tab/>
      </w:r>
      <w:r w:rsidRPr="00EA3591">
        <w:rPr>
          <w:b/>
          <w:bCs/>
          <w:sz w:val="24"/>
          <w:szCs w:val="24"/>
        </w:rPr>
        <w:tab/>
      </w:r>
    </w:p>
    <w:p w:rsidR="00B2329F" w:rsidRPr="00DE554A" w:rsidP="00DE554A" w14:paraId="4E28821C" w14:textId="793E8F7F">
      <w:pPr>
        <w:tabs>
          <w:tab w:val="left" w:pos="2520"/>
          <w:tab w:val="left" w:pos="5130"/>
        </w:tabs>
        <w:jc w:val="both"/>
        <w:rPr>
          <w:bCs/>
          <w:color w:val="auto"/>
          <w:sz w:val="24"/>
          <w:szCs w:val="24"/>
          <w:u w:val="single"/>
          <w:shd w:val="clear" w:color="auto" w:fill="auto"/>
        </w:rPr>
      </w:pPr>
      <w:r w:rsidRPr="00EA3591">
        <w:rPr>
          <w:b/>
          <w:bCs/>
          <w:sz w:val="24"/>
          <w:szCs w:val="24"/>
        </w:rPr>
        <w:tab/>
      </w:r>
      <w:r w:rsidR="00DE554A">
        <w:rPr>
          <w:b/>
          <w:bCs/>
          <w:sz w:val="24"/>
          <w:szCs w:val="24"/>
        </w:rPr>
        <w:tab/>
      </w:r>
      <w:r w:rsidR="00DE554A">
        <w:rPr>
          <w:sz w:val="24"/>
          <w:szCs w:val="24"/>
          <w:u w:val="single"/>
        </w:rPr>
        <w:t xml:space="preserve">          </w:t>
      </w:r>
      <w:r w:rsidRPr="00DE554A" w:rsidR="00DE554A">
        <w:rPr>
          <w:rFonts w:ascii="Times New Roman" w:hAnsi="Times New Roman" w:cs="Times New Roman"/>
          <w:i/>
          <w:sz w:val="24"/>
          <w:szCs w:val="24"/>
          <w:u w:val="single"/>
        </w:rPr>
        <w:t>/s/ Ritchie Sturgeon</w:t>
      </w:r>
      <w:r w:rsidR="00DE554A">
        <w:rPr>
          <w:i/>
          <w:sz w:val="24"/>
          <w:szCs w:val="24"/>
          <w:u w:val="single"/>
        </w:rPr>
        <w:t xml:space="preserve">          </w:t>
      </w:r>
      <w:r w:rsidR="00DE554A">
        <w:rPr>
          <w:i/>
          <w:sz w:val="24"/>
          <w:szCs w:val="24"/>
          <w:u w:val="single"/>
        </w:rPr>
        <w:tab/>
      </w:r>
      <w:r w:rsidR="00DE554A">
        <w:rPr>
          <w:i/>
          <w:sz w:val="24"/>
          <w:szCs w:val="24"/>
          <w:u w:val="single"/>
        </w:rPr>
        <w:tab/>
      </w:r>
    </w:p>
    <w:p w:rsidR="00EA3591" w:rsidRPr="00EA3591" w14:paraId="5A2FFE04" w14:textId="77777777">
      <w:pPr>
        <w:tabs>
          <w:tab w:val="left" w:pos="2520"/>
        </w:tabs>
        <w:jc w:val="both"/>
        <w:rPr>
          <w:b/>
          <w:bCs/>
          <w:color w:val="auto"/>
          <w:sz w:val="24"/>
          <w:szCs w:val="24"/>
          <w:shd w:val="clear" w:color="auto" w:fill="auto"/>
        </w:rPr>
      </w:pPr>
    </w:p>
    <w:sectPr w:rsidSect="00607652">
      <w:footerReference w:type="default" r:id="rId5"/>
      <w:footerReference w:type="first" r:id="rId6"/>
      <w:type w:val="continuous"/>
      <w:pgSz w:w="12240" w:h="15840"/>
      <w:pgMar w:top="1500"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324897235"/>
      <w:docPartObj>
        <w:docPartGallery w:val="Page Numbers (Bottom of Page)"/>
        <w:docPartUnique/>
      </w:docPartObj>
    </w:sdtPr>
    <w:sdtEndPr>
      <w:rPr>
        <w:noProof/>
      </w:rPr>
    </w:sdtEndPr>
    <w:sdtContent>
      <w:p w:rsidR="00E91BBB" w14:paraId="15A27767" w14:textId="57F7F635">
        <w:pPr>
          <w:pStyle w:val="Footer"/>
          <w:jc w:val="center"/>
          <w:rPr>
            <w:color w:val="auto"/>
            <w:shd w:val="clear" w:color="auto" w:fill="auto"/>
          </w:rPr>
        </w:pPr>
        <w:r>
          <w:fldChar w:fldCharType="begin"/>
        </w:r>
        <w:r>
          <w:instrText xml:space="preserve"> PAGE   \* MERGEFORMAT </w:instrText>
        </w:r>
        <w:r>
          <w:fldChar w:fldCharType="separate"/>
        </w:r>
        <w:r w:rsidR="00047224">
          <w:rPr>
            <w:noProof/>
          </w:rPr>
          <w:t>1</w:t>
        </w:r>
        <w:r>
          <w:rPr>
            <w:noProof/>
          </w:rPr>
          <w:fldChar w:fldCharType="end"/>
        </w:r>
      </w:p>
    </w:sdtContent>
  </w:sdt>
  <w:p w:rsidR="00BE60EF" w14:paraId="6C5A00F6" w14:textId="4DA387ED">
    <w:pPr>
      <w:pStyle w:val="BodyText"/>
      <w:spacing w:line="14" w:lineRule="auto"/>
      <w:rPr>
        <w:color w:val="auto"/>
        <w:sz w:val="2"/>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692227557"/>
      <w:docPartObj>
        <w:docPartGallery w:val="Page Numbers (Bottom of Page)"/>
        <w:docPartUnique/>
      </w:docPartObj>
    </w:sdtPr>
    <w:sdtEndPr>
      <w:rPr>
        <w:noProof/>
      </w:rPr>
    </w:sdtEndPr>
    <w:sdtContent>
      <w:p w:rsidR="00591B47" w14:paraId="0FB3840A" w14:textId="6185E21D">
        <w:pPr>
          <w:pStyle w:val="Footer"/>
          <w:jc w:val="center"/>
          <w:rPr>
            <w:color w:val="auto"/>
            <w:shd w:val="clear" w:color="auto" w:fill="auto"/>
          </w:rPr>
        </w:pPr>
        <w:r>
          <w:fldChar w:fldCharType="begin"/>
        </w:r>
        <w:r>
          <w:instrText xml:space="preserve"> PAGE   \* MERGEFORMAT </w:instrText>
        </w:r>
        <w:r>
          <w:fldChar w:fldCharType="separate"/>
        </w:r>
        <w:r w:rsidR="00607652">
          <w:rPr>
            <w:noProof/>
          </w:rPr>
          <w:t>7</w:t>
        </w:r>
        <w:r>
          <w:rPr>
            <w:noProof/>
          </w:rPr>
          <w:fldChar w:fldCharType="end"/>
        </w:r>
      </w:p>
    </w:sdtContent>
  </w:sdt>
  <w:p w:rsidR="00591B47" w14:paraId="3285E53E" w14:textId="77777777">
    <w:pPr>
      <w:pStyle w:val="Footer"/>
      <w:rPr>
        <w:color w:val="auto"/>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46C91" w14:paraId="5572ACF1" w14:textId="77777777">
      <w:r>
        <w:separator/>
      </w:r>
    </w:p>
  </w:footnote>
  <w:footnote w:type="continuationSeparator" w:id="1">
    <w:p w:rsidR="00146C91" w14:paraId="55358DC2" w14:textId="77777777">
      <w:r>
        <w:continuationSeparator/>
      </w:r>
    </w:p>
  </w:footnote>
  <w:footnote w:id="2">
    <w:p w:rsidR="003F15FB" w:rsidRPr="00FB09C6" w:rsidP="003F15FB" w14:paraId="057442F6" w14:textId="77777777">
      <w:pPr>
        <w:pStyle w:val="FootnoteText"/>
        <w:jc w:val="both"/>
        <w:rPr>
          <w:color w:val="auto"/>
          <w:shd w:val="clear" w:color="auto" w:fill="auto"/>
        </w:rPr>
      </w:pPr>
      <w:r>
        <w:rPr>
          <w:rStyle w:val="FootnoteReference"/>
        </w:rPr>
        <w:footnoteRef/>
      </w:r>
      <w:r>
        <w:rPr>
          <w:color w:val="1F1F1F"/>
          <w:w w:val="105"/>
        </w:rPr>
        <w:t xml:space="preserve">  </w:t>
      </w:r>
      <w:r w:rsidRPr="002659E9">
        <w:rPr>
          <w:color w:val="1F1F1F"/>
          <w:w w:val="105"/>
        </w:rPr>
        <w:t>Public</w:t>
      </w:r>
      <w:r w:rsidRPr="002659E9">
        <w:rPr>
          <w:color w:val="1F1F1F"/>
          <w:spacing w:val="42"/>
          <w:w w:val="105"/>
        </w:rPr>
        <w:t xml:space="preserve"> </w:t>
      </w:r>
      <w:r w:rsidRPr="002659E9">
        <w:rPr>
          <w:color w:val="1F1F1F"/>
          <w:w w:val="105"/>
        </w:rPr>
        <w:t>Utility</w:t>
      </w:r>
      <w:r w:rsidRPr="002659E9">
        <w:rPr>
          <w:color w:val="1F1F1F"/>
          <w:spacing w:val="46"/>
          <w:w w:val="105"/>
        </w:rPr>
        <w:t xml:space="preserve"> </w:t>
      </w:r>
      <w:r w:rsidRPr="002659E9">
        <w:rPr>
          <w:color w:val="1F1F1F"/>
          <w:w w:val="105"/>
        </w:rPr>
        <w:t>Regulatory Act,</w:t>
      </w:r>
      <w:r w:rsidRPr="002659E9">
        <w:rPr>
          <w:color w:val="1F1F1F"/>
          <w:spacing w:val="40"/>
          <w:w w:val="105"/>
        </w:rPr>
        <w:t xml:space="preserve"> </w:t>
      </w:r>
      <w:r w:rsidRPr="002659E9">
        <w:rPr>
          <w:color w:val="1F1F1F"/>
          <w:w w:val="105"/>
        </w:rPr>
        <w:t>Tex.</w:t>
      </w:r>
      <w:r w:rsidRPr="002659E9">
        <w:rPr>
          <w:color w:val="1F1F1F"/>
          <w:spacing w:val="35"/>
          <w:w w:val="105"/>
        </w:rPr>
        <w:t xml:space="preserve"> </w:t>
      </w:r>
      <w:r w:rsidRPr="002659E9">
        <w:rPr>
          <w:color w:val="1F1F1F"/>
          <w:w w:val="105"/>
        </w:rPr>
        <w:t>Util.</w:t>
      </w:r>
      <w:r w:rsidRPr="002659E9">
        <w:rPr>
          <w:color w:val="1F1F1F"/>
          <w:spacing w:val="37"/>
          <w:w w:val="105"/>
        </w:rPr>
        <w:t xml:space="preserve"> </w:t>
      </w:r>
      <w:r w:rsidRPr="00FB09C6">
        <w:rPr>
          <w:color w:val="1F1F1F"/>
          <w:w w:val="105"/>
        </w:rPr>
        <w:t>Code</w:t>
      </w:r>
      <w:r w:rsidRPr="00FB09C6">
        <w:rPr>
          <w:color w:val="1F1F1F"/>
          <w:spacing w:val="47"/>
          <w:w w:val="105"/>
        </w:rPr>
        <w:t xml:space="preserve"> </w:t>
      </w:r>
      <w:r w:rsidRPr="00FB09C6">
        <w:rPr>
          <w:color w:val="1F1F1F"/>
          <w:w w:val="105"/>
        </w:rPr>
        <w:t>§§</w:t>
      </w:r>
      <w:r w:rsidRPr="00FB09C6">
        <w:rPr>
          <w:color w:val="1F1F1F"/>
          <w:spacing w:val="30"/>
          <w:w w:val="105"/>
        </w:rPr>
        <w:t xml:space="preserve"> </w:t>
      </w:r>
      <w:r w:rsidRPr="00FB09C6">
        <w:rPr>
          <w:color w:val="1F1F1F"/>
          <w:w w:val="105"/>
        </w:rPr>
        <w:t>11.001</w:t>
      </w:r>
      <w:r>
        <w:rPr>
          <w:color w:val="1F1F1F"/>
          <w:w w:val="105"/>
        </w:rPr>
        <w:t>–</w:t>
      </w:r>
      <w:r w:rsidRPr="00FB09C6">
        <w:rPr>
          <w:color w:val="1F1F1F"/>
          <w:w w:val="105"/>
        </w:rPr>
        <w:t>66.016</w:t>
      </w:r>
      <w:r w:rsidRPr="00FB09C6">
        <w:rPr>
          <w:color w:val="1F1F1F"/>
          <w:w w:val="105"/>
          <w:szCs w:val="24"/>
        </w:rPr>
        <w:t>.</w:t>
      </w:r>
      <w:r w:rsidRPr="00FB09C6">
        <w:t xml:space="preserve"> </w:t>
      </w:r>
    </w:p>
  </w:footnote>
  <w:footnote w:id="3">
    <w:p w:rsidR="00F55778" w:rsidRPr="00A60151" w:rsidP="00F55778" w14:paraId="2965D0E7" w14:textId="799AE297">
      <w:pPr>
        <w:pStyle w:val="FootnoteText"/>
        <w:rPr>
          <w:color w:val="auto"/>
          <w:shd w:val="clear" w:color="auto" w:fill="auto"/>
        </w:rPr>
      </w:pPr>
      <w:r w:rsidRPr="00A60151">
        <w:rPr>
          <w:rStyle w:val="FootnoteReference"/>
        </w:rPr>
        <w:footnoteRef/>
      </w:r>
      <w:r w:rsidRPr="00A60151">
        <w:t xml:space="preserve"> </w:t>
      </w:r>
      <w:r>
        <w:rPr>
          <w:i/>
        </w:rPr>
        <w:t xml:space="preserve">Application of Oncor Electric Delivery Company LLC to Adjust Its Energy Efficiency Cost Recovery </w:t>
      </w:r>
      <w:r w:rsidRPr="00381267">
        <w:rPr>
          <w:i/>
        </w:rPr>
        <w:t>Factor</w:t>
      </w:r>
      <w:r>
        <w:rPr>
          <w:i/>
        </w:rPr>
        <w:t xml:space="preserve">, </w:t>
      </w:r>
      <w:r w:rsidRPr="00381267">
        <w:t xml:space="preserve">Docket No. </w:t>
      </w:r>
      <w:r>
        <w:t>52178</w:t>
      </w:r>
      <w:r w:rsidRPr="0087307A">
        <w:t>.</w:t>
      </w:r>
    </w:p>
  </w:footnote>
  <w:footnote w:id="4">
    <w:p w:rsidR="00DC33CF" w:rsidRPr="009E643B" w:rsidP="00DC33CF" w14:paraId="065ABD27" w14:textId="6A61B972">
      <w:pPr>
        <w:pStyle w:val="FootnoteText"/>
        <w:rPr>
          <w:color w:val="auto"/>
          <w:shd w:val="clear" w:color="auto" w:fill="auto"/>
        </w:rPr>
      </w:pPr>
      <w:r w:rsidRPr="009E643B">
        <w:rPr>
          <w:rStyle w:val="FootnoteReference"/>
        </w:rPr>
        <w:footnoteRef/>
      </w:r>
      <w:r w:rsidRPr="009E643B">
        <w:t xml:space="preserve"> </w:t>
      </w:r>
      <w:r w:rsidRPr="009E643B" w:rsidR="009E643B">
        <w:t>For example, the cost recovery me</w:t>
      </w:r>
      <w:r w:rsidR="00CB5627">
        <w:t>chanism</w:t>
      </w:r>
      <w:r w:rsidRPr="009E643B" w:rsidR="009E643B">
        <w:t xml:space="preserve"> noted in PURA </w:t>
      </w:r>
      <w:r w:rsidRPr="009E643B" w:rsidR="009E643B">
        <w:rPr>
          <w:rStyle w:val="BodyTextChar"/>
          <w:sz w:val="20"/>
          <w:szCs w:val="20"/>
        </w:rPr>
        <w:t>§ 38.075(e).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56038"/>
    <w:multiLevelType w:val="hybridMultilevel"/>
    <w:tmpl w:val="3C2A8B06"/>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1">
    <w:nsid w:val="17F965D6"/>
    <w:multiLevelType w:val="hybridMultilevel"/>
    <w:tmpl w:val="8ACC50DE"/>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E19633A"/>
    <w:multiLevelType w:val="hybridMultilevel"/>
    <w:tmpl w:val="FF420D86"/>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3">
    <w:nsid w:val="29F56364"/>
    <w:multiLevelType w:val="hybridMultilevel"/>
    <w:tmpl w:val="8D6E56F4"/>
    <w:lvl w:ilvl="0">
      <w:start w:val="0"/>
      <w:numFmt w:val="bullet"/>
      <w:lvlText w:val="·"/>
      <w:lvlJc w:val="left"/>
      <w:pPr>
        <w:ind w:left="1436" w:hanging="128"/>
      </w:pPr>
      <w:rPr>
        <w:rFonts w:ascii="Arial" w:eastAsia="Arial" w:hAnsi="Arial" w:cs="Arial" w:hint="default"/>
        <w:color w:val="363636"/>
        <w:w w:val="78"/>
        <w:sz w:val="24"/>
        <w:szCs w:val="24"/>
      </w:rPr>
    </w:lvl>
    <w:lvl w:ilvl="1">
      <w:start w:val="0"/>
      <w:numFmt w:val="bullet"/>
      <w:lvlText w:val="•"/>
      <w:lvlJc w:val="left"/>
      <w:pPr>
        <w:ind w:left="2460" w:hanging="128"/>
      </w:pPr>
      <w:rPr>
        <w:rFonts w:hint="default"/>
      </w:rPr>
    </w:lvl>
    <w:lvl w:ilvl="2">
      <w:start w:val="0"/>
      <w:numFmt w:val="bullet"/>
      <w:lvlText w:val="•"/>
      <w:lvlJc w:val="left"/>
      <w:pPr>
        <w:ind w:left="3480" w:hanging="128"/>
      </w:pPr>
      <w:rPr>
        <w:rFonts w:hint="default"/>
      </w:rPr>
    </w:lvl>
    <w:lvl w:ilvl="3">
      <w:start w:val="0"/>
      <w:numFmt w:val="bullet"/>
      <w:lvlText w:val="•"/>
      <w:lvlJc w:val="left"/>
      <w:pPr>
        <w:ind w:left="4500" w:hanging="128"/>
      </w:pPr>
      <w:rPr>
        <w:rFonts w:hint="default"/>
      </w:rPr>
    </w:lvl>
    <w:lvl w:ilvl="4">
      <w:start w:val="0"/>
      <w:numFmt w:val="bullet"/>
      <w:lvlText w:val="•"/>
      <w:lvlJc w:val="left"/>
      <w:pPr>
        <w:ind w:left="5520" w:hanging="128"/>
      </w:pPr>
      <w:rPr>
        <w:rFonts w:hint="default"/>
      </w:rPr>
    </w:lvl>
    <w:lvl w:ilvl="5">
      <w:start w:val="0"/>
      <w:numFmt w:val="bullet"/>
      <w:lvlText w:val="•"/>
      <w:lvlJc w:val="left"/>
      <w:pPr>
        <w:ind w:left="6540" w:hanging="128"/>
      </w:pPr>
      <w:rPr>
        <w:rFonts w:hint="default"/>
      </w:rPr>
    </w:lvl>
    <w:lvl w:ilvl="6">
      <w:start w:val="0"/>
      <w:numFmt w:val="bullet"/>
      <w:lvlText w:val="•"/>
      <w:lvlJc w:val="left"/>
      <w:pPr>
        <w:ind w:left="7560" w:hanging="128"/>
      </w:pPr>
      <w:rPr>
        <w:rFonts w:hint="default"/>
      </w:rPr>
    </w:lvl>
    <w:lvl w:ilvl="7">
      <w:start w:val="0"/>
      <w:numFmt w:val="bullet"/>
      <w:lvlText w:val="•"/>
      <w:lvlJc w:val="left"/>
      <w:pPr>
        <w:ind w:left="8580" w:hanging="128"/>
      </w:pPr>
      <w:rPr>
        <w:rFonts w:hint="default"/>
      </w:rPr>
    </w:lvl>
    <w:lvl w:ilvl="8">
      <w:start w:val="0"/>
      <w:numFmt w:val="bullet"/>
      <w:lvlText w:val="•"/>
      <w:lvlJc w:val="left"/>
      <w:pPr>
        <w:ind w:left="9600" w:hanging="128"/>
      </w:pPr>
      <w:rPr>
        <w:rFonts w:hint="default"/>
      </w:rPr>
    </w:lvl>
  </w:abstractNum>
  <w:abstractNum w:abstractNumId="4">
    <w:nsid w:val="2DC7624C"/>
    <w:multiLevelType w:val="hybridMultilevel"/>
    <w:tmpl w:val="7F24F8D6"/>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5">
    <w:nsid w:val="3C3626F8"/>
    <w:multiLevelType w:val="hybridMultilevel"/>
    <w:tmpl w:val="8626D81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415C262A"/>
    <w:multiLevelType w:val="hybridMultilevel"/>
    <w:tmpl w:val="A672F568"/>
    <w:lvl w:ilvl="0">
      <w:start w:val="1"/>
      <w:numFmt w:val="upperRoman"/>
      <w:lvlText w:val="%1."/>
      <w:lvlJc w:val="left"/>
      <w:pPr>
        <w:ind w:left="4343" w:hanging="360"/>
        <w:jc w:val="right"/>
      </w:pPr>
      <w:rPr>
        <w:rFonts w:hint="default"/>
        <w:w w:val="93"/>
      </w:rPr>
    </w:lvl>
    <w:lvl w:ilvl="1">
      <w:start w:val="4"/>
      <w:numFmt w:val="upperRoman"/>
      <w:lvlText w:val="%2."/>
      <w:lvlJc w:val="left"/>
      <w:pPr>
        <w:ind w:left="3943" w:hanging="369"/>
        <w:jc w:val="right"/>
      </w:pPr>
      <w:rPr>
        <w:rFonts w:hint="default"/>
        <w:b/>
        <w:bCs/>
        <w:spacing w:val="-1"/>
        <w:w w:val="106"/>
      </w:rPr>
    </w:lvl>
    <w:lvl w:ilvl="2">
      <w:start w:val="0"/>
      <w:numFmt w:val="bullet"/>
      <w:lvlText w:val="•"/>
      <w:lvlJc w:val="left"/>
      <w:pPr>
        <w:ind w:left="5151" w:hanging="369"/>
      </w:pPr>
      <w:rPr>
        <w:rFonts w:hint="default"/>
      </w:rPr>
    </w:lvl>
    <w:lvl w:ilvl="3">
      <w:start w:val="0"/>
      <w:numFmt w:val="bullet"/>
      <w:lvlText w:val="•"/>
      <w:lvlJc w:val="left"/>
      <w:pPr>
        <w:ind w:left="5962" w:hanging="369"/>
      </w:pPr>
      <w:rPr>
        <w:rFonts w:hint="default"/>
      </w:rPr>
    </w:lvl>
    <w:lvl w:ilvl="4">
      <w:start w:val="0"/>
      <w:numFmt w:val="bullet"/>
      <w:lvlText w:val="•"/>
      <w:lvlJc w:val="left"/>
      <w:pPr>
        <w:ind w:left="6773" w:hanging="369"/>
      </w:pPr>
      <w:rPr>
        <w:rFonts w:hint="default"/>
      </w:rPr>
    </w:lvl>
    <w:lvl w:ilvl="5">
      <w:start w:val="0"/>
      <w:numFmt w:val="bullet"/>
      <w:lvlText w:val="•"/>
      <w:lvlJc w:val="left"/>
      <w:pPr>
        <w:ind w:left="7584" w:hanging="369"/>
      </w:pPr>
      <w:rPr>
        <w:rFonts w:hint="default"/>
      </w:rPr>
    </w:lvl>
    <w:lvl w:ilvl="6">
      <w:start w:val="0"/>
      <w:numFmt w:val="bullet"/>
      <w:lvlText w:val="•"/>
      <w:lvlJc w:val="left"/>
      <w:pPr>
        <w:ind w:left="8395" w:hanging="369"/>
      </w:pPr>
      <w:rPr>
        <w:rFonts w:hint="default"/>
      </w:rPr>
    </w:lvl>
    <w:lvl w:ilvl="7">
      <w:start w:val="0"/>
      <w:numFmt w:val="bullet"/>
      <w:lvlText w:val="•"/>
      <w:lvlJc w:val="left"/>
      <w:pPr>
        <w:ind w:left="9206" w:hanging="369"/>
      </w:pPr>
      <w:rPr>
        <w:rFonts w:hint="default"/>
      </w:rPr>
    </w:lvl>
    <w:lvl w:ilvl="8">
      <w:start w:val="0"/>
      <w:numFmt w:val="bullet"/>
      <w:lvlText w:val="•"/>
      <w:lvlJc w:val="left"/>
      <w:pPr>
        <w:ind w:left="10017" w:hanging="369"/>
      </w:pPr>
      <w:rPr>
        <w:rFonts w:hint="default"/>
      </w:rPr>
    </w:lvl>
  </w:abstractNum>
  <w:abstractNum w:abstractNumId="7">
    <w:nsid w:val="69750776"/>
    <w:multiLevelType w:val="hybridMultilevel"/>
    <w:tmpl w:val="D33051F8"/>
    <w:lvl w:ilvl="0">
      <w:start w:val="1"/>
      <w:numFmt w:val="decimal"/>
      <w:lvlText w:val="%1."/>
      <w:lvlJc w:val="left"/>
      <w:pPr>
        <w:ind w:left="1984" w:hanging="364"/>
      </w:pPr>
      <w:rPr>
        <w:rFonts w:ascii="Arial" w:eastAsia="Arial" w:hAnsi="Arial" w:cs="Arial" w:hint="default"/>
        <w:color w:val="010101"/>
        <w:spacing w:val="-1"/>
        <w:w w:val="104"/>
        <w:sz w:val="23"/>
        <w:szCs w:val="23"/>
      </w:rPr>
    </w:lvl>
    <w:lvl w:ilvl="1">
      <w:start w:val="0"/>
      <w:numFmt w:val="bullet"/>
      <w:lvlText w:val="•"/>
      <w:lvlJc w:val="left"/>
      <w:pPr>
        <w:ind w:left="2946" w:hanging="364"/>
      </w:pPr>
      <w:rPr>
        <w:rFonts w:hint="default"/>
      </w:rPr>
    </w:lvl>
    <w:lvl w:ilvl="2">
      <w:start w:val="0"/>
      <w:numFmt w:val="bullet"/>
      <w:lvlText w:val="•"/>
      <w:lvlJc w:val="left"/>
      <w:pPr>
        <w:ind w:left="3912" w:hanging="364"/>
      </w:pPr>
      <w:rPr>
        <w:rFonts w:hint="default"/>
      </w:rPr>
    </w:lvl>
    <w:lvl w:ilvl="3">
      <w:start w:val="0"/>
      <w:numFmt w:val="bullet"/>
      <w:lvlText w:val="•"/>
      <w:lvlJc w:val="left"/>
      <w:pPr>
        <w:ind w:left="4878" w:hanging="364"/>
      </w:pPr>
      <w:rPr>
        <w:rFonts w:hint="default"/>
      </w:rPr>
    </w:lvl>
    <w:lvl w:ilvl="4">
      <w:start w:val="0"/>
      <w:numFmt w:val="bullet"/>
      <w:lvlText w:val="•"/>
      <w:lvlJc w:val="left"/>
      <w:pPr>
        <w:ind w:left="5844" w:hanging="364"/>
      </w:pPr>
      <w:rPr>
        <w:rFonts w:hint="default"/>
      </w:rPr>
    </w:lvl>
    <w:lvl w:ilvl="5">
      <w:start w:val="0"/>
      <w:numFmt w:val="bullet"/>
      <w:lvlText w:val="•"/>
      <w:lvlJc w:val="left"/>
      <w:pPr>
        <w:ind w:left="6810" w:hanging="364"/>
      </w:pPr>
      <w:rPr>
        <w:rFonts w:hint="default"/>
      </w:rPr>
    </w:lvl>
    <w:lvl w:ilvl="6">
      <w:start w:val="0"/>
      <w:numFmt w:val="bullet"/>
      <w:lvlText w:val="•"/>
      <w:lvlJc w:val="left"/>
      <w:pPr>
        <w:ind w:left="7776" w:hanging="364"/>
      </w:pPr>
      <w:rPr>
        <w:rFonts w:hint="default"/>
      </w:rPr>
    </w:lvl>
    <w:lvl w:ilvl="7">
      <w:start w:val="0"/>
      <w:numFmt w:val="bullet"/>
      <w:lvlText w:val="•"/>
      <w:lvlJc w:val="left"/>
      <w:pPr>
        <w:ind w:left="8742" w:hanging="364"/>
      </w:pPr>
      <w:rPr>
        <w:rFonts w:hint="default"/>
      </w:rPr>
    </w:lvl>
    <w:lvl w:ilvl="8">
      <w:start w:val="0"/>
      <w:numFmt w:val="bullet"/>
      <w:lvlText w:val="•"/>
      <w:lvlJc w:val="left"/>
      <w:pPr>
        <w:ind w:left="9708" w:hanging="364"/>
      </w:pPr>
      <w:rPr>
        <w:rFonts w:hint="default"/>
      </w:rPr>
    </w:lvl>
  </w:abstractNum>
  <w:num w:numId="1">
    <w:abstractNumId w:val="7"/>
  </w:num>
  <w:num w:numId="2">
    <w:abstractNumId w:val="3"/>
  </w:num>
  <w:num w:numId="3">
    <w:abstractNumId w:val="6"/>
  </w:num>
  <w:num w:numId="4">
    <w:abstractNumId w:val="5"/>
  </w:num>
  <w:num w:numId="5">
    <w:abstractNumId w:val="1"/>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0"/>
    <w:footnote w:id="1"/>
  </w:foot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0EF"/>
    <w:rsid w:val="00003D1B"/>
    <w:rsid w:val="00010283"/>
    <w:rsid w:val="00016E39"/>
    <w:rsid w:val="00023A5D"/>
    <w:rsid w:val="000309F6"/>
    <w:rsid w:val="00047224"/>
    <w:rsid w:val="0004750F"/>
    <w:rsid w:val="00055F4F"/>
    <w:rsid w:val="0006222C"/>
    <w:rsid w:val="00091DEA"/>
    <w:rsid w:val="00094083"/>
    <w:rsid w:val="000A3928"/>
    <w:rsid w:val="000A72F9"/>
    <w:rsid w:val="000B64A2"/>
    <w:rsid w:val="000C033A"/>
    <w:rsid w:val="000D335D"/>
    <w:rsid w:val="000D34CA"/>
    <w:rsid w:val="000D5A18"/>
    <w:rsid w:val="000E28F9"/>
    <w:rsid w:val="000F1304"/>
    <w:rsid w:val="001011FD"/>
    <w:rsid w:val="00103001"/>
    <w:rsid w:val="001142C7"/>
    <w:rsid w:val="00116FF2"/>
    <w:rsid w:val="00133999"/>
    <w:rsid w:val="001437C8"/>
    <w:rsid w:val="0014438B"/>
    <w:rsid w:val="00146C91"/>
    <w:rsid w:val="001518ED"/>
    <w:rsid w:val="00155C82"/>
    <w:rsid w:val="00160EC8"/>
    <w:rsid w:val="001803F1"/>
    <w:rsid w:val="00186340"/>
    <w:rsid w:val="00186342"/>
    <w:rsid w:val="001A07BD"/>
    <w:rsid w:val="001A18CA"/>
    <w:rsid w:val="001B29C0"/>
    <w:rsid w:val="001B3DDF"/>
    <w:rsid w:val="001D027B"/>
    <w:rsid w:val="001D6B1C"/>
    <w:rsid w:val="001E001E"/>
    <w:rsid w:val="001E3E0C"/>
    <w:rsid w:val="001E448D"/>
    <w:rsid w:val="001F34AA"/>
    <w:rsid w:val="00203E04"/>
    <w:rsid w:val="00206C70"/>
    <w:rsid w:val="00207F03"/>
    <w:rsid w:val="002101B1"/>
    <w:rsid w:val="00214A49"/>
    <w:rsid w:val="002163E4"/>
    <w:rsid w:val="0022436F"/>
    <w:rsid w:val="00230C86"/>
    <w:rsid w:val="00231AA1"/>
    <w:rsid w:val="00242144"/>
    <w:rsid w:val="0024330A"/>
    <w:rsid w:val="00250C42"/>
    <w:rsid w:val="0026491F"/>
    <w:rsid w:val="002659E9"/>
    <w:rsid w:val="002663A4"/>
    <w:rsid w:val="00270FFB"/>
    <w:rsid w:val="00280CDC"/>
    <w:rsid w:val="00286D49"/>
    <w:rsid w:val="002875D5"/>
    <w:rsid w:val="00292C22"/>
    <w:rsid w:val="003009D1"/>
    <w:rsid w:val="0032662D"/>
    <w:rsid w:val="0034376C"/>
    <w:rsid w:val="00343834"/>
    <w:rsid w:val="00344C10"/>
    <w:rsid w:val="00350855"/>
    <w:rsid w:val="003715BB"/>
    <w:rsid w:val="00381267"/>
    <w:rsid w:val="00381E6A"/>
    <w:rsid w:val="00395CA5"/>
    <w:rsid w:val="003A4BA2"/>
    <w:rsid w:val="003B62FC"/>
    <w:rsid w:val="003C09E7"/>
    <w:rsid w:val="003D13F4"/>
    <w:rsid w:val="003D261D"/>
    <w:rsid w:val="003D6106"/>
    <w:rsid w:val="003E00F7"/>
    <w:rsid w:val="003E065C"/>
    <w:rsid w:val="003E0AFD"/>
    <w:rsid w:val="003E0B9E"/>
    <w:rsid w:val="003F15FB"/>
    <w:rsid w:val="003F321A"/>
    <w:rsid w:val="00401E16"/>
    <w:rsid w:val="00410187"/>
    <w:rsid w:val="00424F00"/>
    <w:rsid w:val="00435054"/>
    <w:rsid w:val="004356DB"/>
    <w:rsid w:val="00450530"/>
    <w:rsid w:val="004520BF"/>
    <w:rsid w:val="00455F5A"/>
    <w:rsid w:val="0047214A"/>
    <w:rsid w:val="0048290E"/>
    <w:rsid w:val="00484BBE"/>
    <w:rsid w:val="00485B05"/>
    <w:rsid w:val="0048678A"/>
    <w:rsid w:val="004A1171"/>
    <w:rsid w:val="004B2331"/>
    <w:rsid w:val="004B29B8"/>
    <w:rsid w:val="004B5EAF"/>
    <w:rsid w:val="004B7A7F"/>
    <w:rsid w:val="004D689F"/>
    <w:rsid w:val="004D77EE"/>
    <w:rsid w:val="004E3EE2"/>
    <w:rsid w:val="004E77C2"/>
    <w:rsid w:val="00503740"/>
    <w:rsid w:val="00507998"/>
    <w:rsid w:val="00521BF6"/>
    <w:rsid w:val="00521C81"/>
    <w:rsid w:val="00526450"/>
    <w:rsid w:val="00531811"/>
    <w:rsid w:val="005404BE"/>
    <w:rsid w:val="00543673"/>
    <w:rsid w:val="00544FCA"/>
    <w:rsid w:val="0054741D"/>
    <w:rsid w:val="005631A1"/>
    <w:rsid w:val="0058095A"/>
    <w:rsid w:val="00591B47"/>
    <w:rsid w:val="00591DFD"/>
    <w:rsid w:val="00594FBD"/>
    <w:rsid w:val="005A1151"/>
    <w:rsid w:val="005B24FE"/>
    <w:rsid w:val="005B3836"/>
    <w:rsid w:val="005D71AE"/>
    <w:rsid w:val="005E1FD3"/>
    <w:rsid w:val="005F2C3C"/>
    <w:rsid w:val="005F2CF3"/>
    <w:rsid w:val="005F6769"/>
    <w:rsid w:val="006017B3"/>
    <w:rsid w:val="00605DE0"/>
    <w:rsid w:val="00607652"/>
    <w:rsid w:val="006130F7"/>
    <w:rsid w:val="00620450"/>
    <w:rsid w:val="00631884"/>
    <w:rsid w:val="0067298E"/>
    <w:rsid w:val="006818EA"/>
    <w:rsid w:val="00691FFB"/>
    <w:rsid w:val="006948DF"/>
    <w:rsid w:val="006A3BA4"/>
    <w:rsid w:val="006C7815"/>
    <w:rsid w:val="006D4C5A"/>
    <w:rsid w:val="006D574C"/>
    <w:rsid w:val="006E1BC7"/>
    <w:rsid w:val="006F78DA"/>
    <w:rsid w:val="006F7D09"/>
    <w:rsid w:val="0071603E"/>
    <w:rsid w:val="00725B29"/>
    <w:rsid w:val="00732B24"/>
    <w:rsid w:val="00734704"/>
    <w:rsid w:val="007448E3"/>
    <w:rsid w:val="00750928"/>
    <w:rsid w:val="00760220"/>
    <w:rsid w:val="00773B09"/>
    <w:rsid w:val="007818AE"/>
    <w:rsid w:val="0078217C"/>
    <w:rsid w:val="00784368"/>
    <w:rsid w:val="00792675"/>
    <w:rsid w:val="007A76C7"/>
    <w:rsid w:val="007D753C"/>
    <w:rsid w:val="007D7EE4"/>
    <w:rsid w:val="007E3705"/>
    <w:rsid w:val="007F39FB"/>
    <w:rsid w:val="007F7F4F"/>
    <w:rsid w:val="00800227"/>
    <w:rsid w:val="00804424"/>
    <w:rsid w:val="00804550"/>
    <w:rsid w:val="00815F3C"/>
    <w:rsid w:val="00833660"/>
    <w:rsid w:val="0083645C"/>
    <w:rsid w:val="0085432C"/>
    <w:rsid w:val="00866568"/>
    <w:rsid w:val="0087307A"/>
    <w:rsid w:val="00874D1E"/>
    <w:rsid w:val="008808AE"/>
    <w:rsid w:val="00887D7A"/>
    <w:rsid w:val="008C58C0"/>
    <w:rsid w:val="008C5AC7"/>
    <w:rsid w:val="008D3EF0"/>
    <w:rsid w:val="008D4FE6"/>
    <w:rsid w:val="008E2712"/>
    <w:rsid w:val="008E6455"/>
    <w:rsid w:val="008F2680"/>
    <w:rsid w:val="008F7527"/>
    <w:rsid w:val="008F78F8"/>
    <w:rsid w:val="009054BE"/>
    <w:rsid w:val="00913EB6"/>
    <w:rsid w:val="00921264"/>
    <w:rsid w:val="009236BF"/>
    <w:rsid w:val="00924FC0"/>
    <w:rsid w:val="00932572"/>
    <w:rsid w:val="009376DE"/>
    <w:rsid w:val="00953F50"/>
    <w:rsid w:val="00957B80"/>
    <w:rsid w:val="0098116F"/>
    <w:rsid w:val="00982AF9"/>
    <w:rsid w:val="00983C02"/>
    <w:rsid w:val="00992ACF"/>
    <w:rsid w:val="009A4606"/>
    <w:rsid w:val="009B141E"/>
    <w:rsid w:val="009C3DD4"/>
    <w:rsid w:val="009D4F5D"/>
    <w:rsid w:val="009E643B"/>
    <w:rsid w:val="009F2337"/>
    <w:rsid w:val="009F5CC3"/>
    <w:rsid w:val="00A00CF3"/>
    <w:rsid w:val="00A029B9"/>
    <w:rsid w:val="00A02A58"/>
    <w:rsid w:val="00A27B4C"/>
    <w:rsid w:val="00A30425"/>
    <w:rsid w:val="00A339F6"/>
    <w:rsid w:val="00A379D7"/>
    <w:rsid w:val="00A40759"/>
    <w:rsid w:val="00A454C7"/>
    <w:rsid w:val="00A45A1E"/>
    <w:rsid w:val="00A475E0"/>
    <w:rsid w:val="00A60151"/>
    <w:rsid w:val="00A706E6"/>
    <w:rsid w:val="00A71968"/>
    <w:rsid w:val="00A73512"/>
    <w:rsid w:val="00A86281"/>
    <w:rsid w:val="00A87447"/>
    <w:rsid w:val="00AA27AE"/>
    <w:rsid w:val="00AB12D3"/>
    <w:rsid w:val="00AB1AB3"/>
    <w:rsid w:val="00AB4EB3"/>
    <w:rsid w:val="00AB6068"/>
    <w:rsid w:val="00AC3664"/>
    <w:rsid w:val="00AC3680"/>
    <w:rsid w:val="00AC4BB8"/>
    <w:rsid w:val="00AC7BEA"/>
    <w:rsid w:val="00AC7E13"/>
    <w:rsid w:val="00AF7C18"/>
    <w:rsid w:val="00B11DCA"/>
    <w:rsid w:val="00B22ECE"/>
    <w:rsid w:val="00B2329F"/>
    <w:rsid w:val="00B337BA"/>
    <w:rsid w:val="00B35232"/>
    <w:rsid w:val="00B473F3"/>
    <w:rsid w:val="00B61BDF"/>
    <w:rsid w:val="00B65291"/>
    <w:rsid w:val="00B71D0E"/>
    <w:rsid w:val="00B77644"/>
    <w:rsid w:val="00B84781"/>
    <w:rsid w:val="00B8775E"/>
    <w:rsid w:val="00B9128D"/>
    <w:rsid w:val="00BB64E7"/>
    <w:rsid w:val="00BC247D"/>
    <w:rsid w:val="00BC5F50"/>
    <w:rsid w:val="00BE60EF"/>
    <w:rsid w:val="00BF004C"/>
    <w:rsid w:val="00BF6B5D"/>
    <w:rsid w:val="00C01799"/>
    <w:rsid w:val="00C05E7A"/>
    <w:rsid w:val="00C10D44"/>
    <w:rsid w:val="00C127E4"/>
    <w:rsid w:val="00C341A5"/>
    <w:rsid w:val="00C37033"/>
    <w:rsid w:val="00C4424A"/>
    <w:rsid w:val="00C510F0"/>
    <w:rsid w:val="00C536DB"/>
    <w:rsid w:val="00C660A7"/>
    <w:rsid w:val="00C72E41"/>
    <w:rsid w:val="00C80A56"/>
    <w:rsid w:val="00C83AF8"/>
    <w:rsid w:val="00C92AEA"/>
    <w:rsid w:val="00C973D6"/>
    <w:rsid w:val="00CB0A70"/>
    <w:rsid w:val="00CB3417"/>
    <w:rsid w:val="00CB5627"/>
    <w:rsid w:val="00CB57D1"/>
    <w:rsid w:val="00CC32D2"/>
    <w:rsid w:val="00CD1031"/>
    <w:rsid w:val="00CF1254"/>
    <w:rsid w:val="00CF2F60"/>
    <w:rsid w:val="00D06D43"/>
    <w:rsid w:val="00D14AFC"/>
    <w:rsid w:val="00D17D31"/>
    <w:rsid w:val="00D22A57"/>
    <w:rsid w:val="00D22C21"/>
    <w:rsid w:val="00D320FC"/>
    <w:rsid w:val="00D4130F"/>
    <w:rsid w:val="00D50412"/>
    <w:rsid w:val="00D55687"/>
    <w:rsid w:val="00D61A50"/>
    <w:rsid w:val="00D77DF2"/>
    <w:rsid w:val="00D83F9C"/>
    <w:rsid w:val="00D86599"/>
    <w:rsid w:val="00D90B7A"/>
    <w:rsid w:val="00D91588"/>
    <w:rsid w:val="00D92C09"/>
    <w:rsid w:val="00D95BAF"/>
    <w:rsid w:val="00D979ED"/>
    <w:rsid w:val="00DA0263"/>
    <w:rsid w:val="00DA256C"/>
    <w:rsid w:val="00DA5798"/>
    <w:rsid w:val="00DB0CE3"/>
    <w:rsid w:val="00DB133B"/>
    <w:rsid w:val="00DB1D29"/>
    <w:rsid w:val="00DC33CF"/>
    <w:rsid w:val="00DC773A"/>
    <w:rsid w:val="00DD5C9D"/>
    <w:rsid w:val="00DD642E"/>
    <w:rsid w:val="00DD793C"/>
    <w:rsid w:val="00DD7E9A"/>
    <w:rsid w:val="00DE3F0B"/>
    <w:rsid w:val="00DE554A"/>
    <w:rsid w:val="00DE6232"/>
    <w:rsid w:val="00E079B0"/>
    <w:rsid w:val="00E15866"/>
    <w:rsid w:val="00E30C63"/>
    <w:rsid w:val="00E37F02"/>
    <w:rsid w:val="00E51979"/>
    <w:rsid w:val="00E523DA"/>
    <w:rsid w:val="00E724CC"/>
    <w:rsid w:val="00E72D88"/>
    <w:rsid w:val="00E82834"/>
    <w:rsid w:val="00E91BBB"/>
    <w:rsid w:val="00E9238F"/>
    <w:rsid w:val="00E92716"/>
    <w:rsid w:val="00E93EDA"/>
    <w:rsid w:val="00EA3591"/>
    <w:rsid w:val="00EC2A3F"/>
    <w:rsid w:val="00EC6038"/>
    <w:rsid w:val="00ED118F"/>
    <w:rsid w:val="00ED7E65"/>
    <w:rsid w:val="00EE1B16"/>
    <w:rsid w:val="00EF0B38"/>
    <w:rsid w:val="00EF1BBC"/>
    <w:rsid w:val="00EF2119"/>
    <w:rsid w:val="00EF3ADB"/>
    <w:rsid w:val="00F1400D"/>
    <w:rsid w:val="00F17392"/>
    <w:rsid w:val="00F30BE8"/>
    <w:rsid w:val="00F4309B"/>
    <w:rsid w:val="00F44114"/>
    <w:rsid w:val="00F4614C"/>
    <w:rsid w:val="00F54A5B"/>
    <w:rsid w:val="00F55778"/>
    <w:rsid w:val="00F64B7A"/>
    <w:rsid w:val="00F70E52"/>
    <w:rsid w:val="00F77341"/>
    <w:rsid w:val="00F8192B"/>
    <w:rsid w:val="00F85805"/>
    <w:rsid w:val="00F85E32"/>
    <w:rsid w:val="00F92CA6"/>
    <w:rsid w:val="00F97412"/>
    <w:rsid w:val="00FB09C6"/>
    <w:rsid w:val="00FC1988"/>
    <w:rsid w:val="00FC5289"/>
    <w:rsid w:val="00FC76B1"/>
    <w:rsid w:val="00FD3197"/>
    <w:rsid w:val="00FE75A9"/>
    <w:rsid w:val="00FF7056"/>
    <w:rsid w:val="00FF769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9A538506-72A6-415F-9845-198BD2E45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1"/>
      <w:ind w:left="116"/>
      <w:outlineLvl w:val="0"/>
    </w:pPr>
    <w:rPr>
      <w:rFonts w:ascii="Times New Roman" w:eastAsia="Times New Roman" w:hAnsi="Times New Roman" w:cs="Times New Roman"/>
      <w:sz w:val="25"/>
      <w:szCs w:val="25"/>
    </w:rPr>
  </w:style>
  <w:style w:type="paragraph" w:styleId="Heading2">
    <w:name w:val="heading 2"/>
    <w:basedOn w:val="Normal"/>
    <w:uiPriority w:val="1"/>
    <w:qFormat/>
    <w:pPr>
      <w:ind w:left="3294" w:hanging="718"/>
      <w:outlineLvl w:val="1"/>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1994" w:hanging="361"/>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E51979"/>
    <w:rPr>
      <w:sz w:val="16"/>
      <w:szCs w:val="16"/>
    </w:rPr>
  </w:style>
  <w:style w:type="paragraph" w:styleId="CommentText">
    <w:name w:val="annotation text"/>
    <w:basedOn w:val="Normal"/>
    <w:link w:val="CommentTextChar"/>
    <w:uiPriority w:val="99"/>
    <w:semiHidden/>
    <w:unhideWhenUsed/>
    <w:rsid w:val="00E51979"/>
    <w:rPr>
      <w:sz w:val="20"/>
      <w:szCs w:val="20"/>
    </w:rPr>
  </w:style>
  <w:style w:type="character" w:customStyle="1" w:styleId="CommentTextChar">
    <w:name w:val="Comment Text Char"/>
    <w:basedOn w:val="DefaultParagraphFont"/>
    <w:link w:val="CommentText"/>
    <w:uiPriority w:val="99"/>
    <w:semiHidden/>
    <w:rsid w:val="00E51979"/>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E51979"/>
    <w:rPr>
      <w:b/>
      <w:bCs/>
    </w:rPr>
  </w:style>
  <w:style w:type="character" w:customStyle="1" w:styleId="CommentSubjectChar">
    <w:name w:val="Comment Subject Char"/>
    <w:basedOn w:val="CommentTextChar"/>
    <w:link w:val="CommentSubject"/>
    <w:uiPriority w:val="99"/>
    <w:semiHidden/>
    <w:rsid w:val="00E51979"/>
    <w:rPr>
      <w:rFonts w:ascii="Arial" w:eastAsia="Arial" w:hAnsi="Arial" w:cs="Arial"/>
      <w:b/>
      <w:bCs/>
      <w:sz w:val="20"/>
      <w:szCs w:val="20"/>
    </w:rPr>
  </w:style>
  <w:style w:type="paragraph" w:styleId="BalloonText">
    <w:name w:val="Balloon Text"/>
    <w:basedOn w:val="Normal"/>
    <w:link w:val="BalloonTextChar"/>
    <w:uiPriority w:val="99"/>
    <w:semiHidden/>
    <w:unhideWhenUsed/>
    <w:rsid w:val="00E519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1979"/>
    <w:rPr>
      <w:rFonts w:ascii="Segoe UI" w:eastAsia="Arial" w:hAnsi="Segoe UI" w:cs="Segoe UI"/>
      <w:sz w:val="18"/>
      <w:szCs w:val="18"/>
    </w:rPr>
  </w:style>
  <w:style w:type="character" w:customStyle="1" w:styleId="BodyTextChar">
    <w:name w:val="Body Text Char"/>
    <w:basedOn w:val="DefaultParagraphFont"/>
    <w:link w:val="BodyText"/>
    <w:uiPriority w:val="1"/>
    <w:rsid w:val="00792675"/>
    <w:rPr>
      <w:rFonts w:ascii="Arial" w:eastAsia="Arial" w:hAnsi="Arial" w:cs="Arial"/>
      <w:sz w:val="24"/>
      <w:szCs w:val="24"/>
    </w:rPr>
  </w:style>
  <w:style w:type="paragraph" w:styleId="Header">
    <w:name w:val="header"/>
    <w:basedOn w:val="Normal"/>
    <w:link w:val="HeaderChar"/>
    <w:uiPriority w:val="99"/>
    <w:unhideWhenUsed/>
    <w:rsid w:val="00C510F0"/>
    <w:pPr>
      <w:tabs>
        <w:tab w:val="center" w:pos="4680"/>
        <w:tab w:val="right" w:pos="9360"/>
      </w:tabs>
    </w:pPr>
  </w:style>
  <w:style w:type="character" w:customStyle="1" w:styleId="HeaderChar">
    <w:name w:val="Header Char"/>
    <w:basedOn w:val="DefaultParagraphFont"/>
    <w:link w:val="Header"/>
    <w:uiPriority w:val="99"/>
    <w:rsid w:val="00C510F0"/>
    <w:rPr>
      <w:rFonts w:ascii="Arial" w:eastAsia="Arial" w:hAnsi="Arial" w:cs="Arial"/>
    </w:rPr>
  </w:style>
  <w:style w:type="paragraph" w:styleId="Footer">
    <w:name w:val="footer"/>
    <w:basedOn w:val="Normal"/>
    <w:link w:val="FooterChar"/>
    <w:uiPriority w:val="99"/>
    <w:unhideWhenUsed/>
    <w:rsid w:val="00C510F0"/>
    <w:pPr>
      <w:tabs>
        <w:tab w:val="center" w:pos="4680"/>
        <w:tab w:val="right" w:pos="9360"/>
      </w:tabs>
    </w:pPr>
  </w:style>
  <w:style w:type="character" w:customStyle="1" w:styleId="FooterChar">
    <w:name w:val="Footer Char"/>
    <w:basedOn w:val="DefaultParagraphFont"/>
    <w:link w:val="Footer"/>
    <w:uiPriority w:val="99"/>
    <w:rsid w:val="00C510F0"/>
    <w:rPr>
      <w:rFonts w:ascii="Arial" w:eastAsia="Arial" w:hAnsi="Arial" w:cs="Arial"/>
    </w:rPr>
  </w:style>
  <w:style w:type="paragraph" w:styleId="FootnoteText">
    <w:name w:val="footnote text"/>
    <w:aliases w:val="ALTS FOOTNOTE,ALTS FOOTNOTE Char,ALTS FOOTNOTE Char Char Char,FOOTNOTE,Footnote Text 2,Footnote Text Char Char Char,Footnote Text Char1 Char,Footnote Text Char2 Char Char Char,Footnote text,fn,fn Char,fn Char Char Char"/>
    <w:basedOn w:val="Normal"/>
    <w:link w:val="FootnoteTextChar"/>
    <w:unhideWhenUsed/>
    <w:qFormat/>
    <w:rsid w:val="001E3E0C"/>
    <w:rPr>
      <w:sz w:val="20"/>
      <w:szCs w:val="20"/>
    </w:rPr>
  </w:style>
  <w:style w:type="character" w:customStyle="1" w:styleId="FootnoteTextChar">
    <w:name w:val="Footnote Text Char"/>
    <w:aliases w:val="ALTS FOOTNOTE Char Char,ALTS FOOTNOTE Char Char Char Char,ALTS FOOTNOTE Char1,FOOTNOTE Char,Footnote Text 2 Char,Footnote Text Char Char Char Char,Footnote Text Char1 Char Char,Footnote Text Char2 Char Char Char Char,fn Char1"/>
    <w:basedOn w:val="DefaultParagraphFont"/>
    <w:link w:val="FootnoteText"/>
    <w:rsid w:val="001E3E0C"/>
    <w:rPr>
      <w:rFonts w:ascii="Arial" w:eastAsia="Arial" w:hAnsi="Arial" w:cs="Arial"/>
      <w:sz w:val="20"/>
      <w:szCs w:val="20"/>
    </w:rPr>
  </w:style>
  <w:style w:type="character" w:styleId="FootnoteReference">
    <w:name w:val="footnote reference"/>
    <w:aliases w:val="(NECG) Footnote Reference,Appel note de bas de p,FR,Style 3,fr,o"/>
    <w:basedOn w:val="DefaultParagraphFont"/>
    <w:uiPriority w:val="99"/>
    <w:unhideWhenUsed/>
    <w:rsid w:val="001E3E0C"/>
    <w:rPr>
      <w:vertAlign w:val="superscript"/>
    </w:rPr>
  </w:style>
  <w:style w:type="paragraph" w:styleId="EndnoteText">
    <w:name w:val="endnote text"/>
    <w:basedOn w:val="Normal"/>
    <w:link w:val="EndnoteTextChar"/>
    <w:uiPriority w:val="99"/>
    <w:semiHidden/>
    <w:unhideWhenUsed/>
    <w:rsid w:val="001E3E0C"/>
    <w:rPr>
      <w:sz w:val="20"/>
      <w:szCs w:val="20"/>
    </w:rPr>
  </w:style>
  <w:style w:type="character" w:customStyle="1" w:styleId="EndnoteTextChar">
    <w:name w:val="Endnote Text Char"/>
    <w:basedOn w:val="DefaultParagraphFont"/>
    <w:link w:val="EndnoteText"/>
    <w:uiPriority w:val="99"/>
    <w:semiHidden/>
    <w:rsid w:val="001E3E0C"/>
    <w:rPr>
      <w:rFonts w:ascii="Arial" w:eastAsia="Arial" w:hAnsi="Arial" w:cs="Arial"/>
      <w:sz w:val="20"/>
      <w:szCs w:val="20"/>
    </w:rPr>
  </w:style>
  <w:style w:type="character" w:styleId="EndnoteReference">
    <w:name w:val="endnote reference"/>
    <w:basedOn w:val="DefaultParagraphFont"/>
    <w:uiPriority w:val="99"/>
    <w:semiHidden/>
    <w:unhideWhenUsed/>
    <w:rsid w:val="001E3E0C"/>
    <w:rPr>
      <w:vertAlign w:val="superscript"/>
    </w:rPr>
  </w:style>
  <w:style w:type="character" w:styleId="Hyperlink">
    <w:name w:val="Hyperlink"/>
    <w:basedOn w:val="DefaultParagraphFont"/>
    <w:uiPriority w:val="99"/>
    <w:unhideWhenUsed/>
    <w:rsid w:val="00A87447"/>
    <w:rPr>
      <w:color w:val="0000FF" w:themeColor="hyperlink"/>
      <w:u w:val="single"/>
    </w:rPr>
  </w:style>
  <w:style w:type="paragraph" w:customStyle="1" w:styleId="BodyText1stIndent1-12">
    <w:name w:val="Body Text 1st Indent 1-1/2"/>
    <w:basedOn w:val="Normal"/>
    <w:link w:val="BodyText1stIndent1-12Char"/>
    <w:rsid w:val="004D77EE"/>
    <w:pPr>
      <w:widowControl/>
      <w:autoSpaceDE/>
      <w:autoSpaceDN/>
      <w:spacing w:line="360" w:lineRule="auto"/>
      <w:ind w:firstLine="720"/>
      <w:jc w:val="both"/>
    </w:pPr>
    <w:rPr>
      <w:rFonts w:eastAsia="Times New Roman"/>
      <w:sz w:val="24"/>
      <w:szCs w:val="24"/>
    </w:rPr>
  </w:style>
  <w:style w:type="character" w:customStyle="1" w:styleId="BodyText1stIndent1-12Char">
    <w:name w:val="Body Text 1st Indent 1-1/2 Char"/>
    <w:link w:val="BodyText1stIndent1-12"/>
    <w:locked/>
    <w:rsid w:val="004D77EE"/>
    <w:rPr>
      <w:rFonts w:ascii="Arial" w:eastAsia="Times New Roman" w:hAnsi="Arial" w:cs="Arial"/>
      <w:sz w:val="24"/>
      <w:szCs w:val="24"/>
    </w:rPr>
  </w:style>
  <w:style w:type="character" w:customStyle="1" w:styleId="DocketnumberChar">
    <w:name w:val="Docketnumber Char"/>
    <w:link w:val="Docketnumber"/>
    <w:uiPriority w:val="3"/>
    <w:locked/>
    <w:rsid w:val="000A3928"/>
    <w:rPr>
      <w:rFonts w:ascii="Times New Roman" w:eastAsia="Calibri" w:hAnsi="Times New Roman" w:cs="Times New Roman"/>
      <w:b/>
      <w:sz w:val="24"/>
      <w:szCs w:val="24"/>
    </w:rPr>
  </w:style>
  <w:style w:type="paragraph" w:customStyle="1" w:styleId="Docketnumber">
    <w:name w:val="Docketnumber"/>
    <w:basedOn w:val="Normal"/>
    <w:link w:val="DocketnumberChar"/>
    <w:uiPriority w:val="3"/>
    <w:rsid w:val="000A3928"/>
    <w:pPr>
      <w:widowControl/>
      <w:autoSpaceDE/>
      <w:autoSpaceDN/>
      <w:spacing w:after="480"/>
      <w:jc w:val="center"/>
    </w:pPr>
    <w:rPr>
      <w:rFonts w:ascii="Times New Roman" w:eastAsia="Calibri" w:hAnsi="Times New Roman" w:cs="Times New Roman"/>
      <w:b/>
      <w:sz w:val="24"/>
      <w:szCs w:val="24"/>
    </w:rPr>
  </w:style>
  <w:style w:type="paragraph" w:customStyle="1" w:styleId="Docketstyle">
    <w:name w:val="Docketstyle"/>
    <w:basedOn w:val="Normal"/>
    <w:uiPriority w:val="3"/>
    <w:rsid w:val="000A3928"/>
    <w:pPr>
      <w:widowControl/>
      <w:autoSpaceDE/>
      <w:autoSpaceDN/>
    </w:pPr>
    <w:rPr>
      <w:rFonts w:ascii="Times New Roman" w:eastAsia="Calibri" w:hAnsi="Times New Roman" w:cs="Times New Roman"/>
      <w:b/>
      <w:sz w:val="24"/>
      <w:szCs w:val="24"/>
    </w:rPr>
  </w:style>
  <w:style w:type="paragraph" w:customStyle="1" w:styleId="DocketstylePUC">
    <w:name w:val="DocketstylePUC"/>
    <w:basedOn w:val="Docketstyle"/>
    <w:uiPriority w:val="3"/>
    <w:rsid w:val="000A3928"/>
    <w:pPr>
      <w:jc w:val="center"/>
    </w:pPr>
  </w:style>
  <w:style w:type="paragraph" w:styleId="NormalWeb">
    <w:name w:val="Normal (Web)"/>
    <w:basedOn w:val="Normal"/>
    <w:uiPriority w:val="99"/>
    <w:semiHidden/>
    <w:unhideWhenUsed/>
    <w:rsid w:val="00F30BE8"/>
    <w:pPr>
      <w:widowControl/>
      <w:autoSpaceDE/>
      <w:autoSpaceDN/>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4726</Characters>
  <Application>Microsoft Office Word</Application>
  <DocSecurity>0</DocSecurity>
  <Lines>38</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2015-04-07T00:00:00Z</vt:filetime>
  </property>
  <property fmtid="{D5CDD505-2E9C-101B-9397-08002B2CF9AE}" pid="3" name="Creator">
    <vt:lpwstr>Xerox 4112</vt:lpwstr>
  </property>
  <property fmtid="{D5CDD505-2E9C-101B-9397-08002B2CF9AE}" pid="4" name="LastSaved">
    <vt:filetime>2021-09-08T00:00:00Z</vt:filetime>
  </property>
</Properties>
</file>